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55" w:rsidRDefault="002A6F55" w:rsidP="00643106">
      <w:pPr>
        <w:jc w:val="center"/>
        <w:rPr>
          <w:rFonts w:ascii="Arial" w:hAnsi="Arial" w:cs="Arial"/>
          <w:b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b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b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b/>
          <w:sz w:val="56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b/>
          <w:sz w:val="56"/>
          <w:szCs w:val="20"/>
        </w:rPr>
      </w:pPr>
    </w:p>
    <w:p w:rsidR="002A6F55" w:rsidRPr="00E44944" w:rsidRDefault="00731B3B" w:rsidP="00643106">
      <w:pPr>
        <w:jc w:val="center"/>
        <w:rPr>
          <w:rFonts w:ascii="Bookman Old Style" w:hAnsi="Bookman Old Style" w:cs="Arial"/>
          <w:b/>
          <w:sz w:val="56"/>
          <w:szCs w:val="20"/>
        </w:rPr>
      </w:pPr>
      <w:r w:rsidRPr="00E44944">
        <w:rPr>
          <w:rFonts w:ascii="Bookman Old Style" w:hAnsi="Bookman Old Style" w:cs="Arial"/>
          <w:b/>
          <w:sz w:val="56"/>
          <w:szCs w:val="20"/>
        </w:rPr>
        <w:t xml:space="preserve">Oferta edukacyjna  </w:t>
      </w:r>
    </w:p>
    <w:p w:rsidR="009610AE" w:rsidRPr="00E44944" w:rsidRDefault="00731B3B" w:rsidP="00643106">
      <w:pPr>
        <w:jc w:val="center"/>
        <w:rPr>
          <w:rFonts w:ascii="Bookman Old Style" w:hAnsi="Bookman Old Style" w:cs="Arial"/>
          <w:b/>
          <w:sz w:val="28"/>
          <w:szCs w:val="20"/>
        </w:rPr>
      </w:pPr>
      <w:r w:rsidRPr="00E44944">
        <w:rPr>
          <w:rFonts w:ascii="Bookman Old Style" w:hAnsi="Bookman Old Style" w:cs="Arial"/>
          <w:b/>
          <w:sz w:val="56"/>
          <w:szCs w:val="20"/>
        </w:rPr>
        <w:t xml:space="preserve">Lokalnego Ośrodka Wiedzy </w:t>
      </w:r>
      <w:r w:rsidR="002A6F55" w:rsidRPr="00E44944">
        <w:rPr>
          <w:rFonts w:ascii="Bookman Old Style" w:hAnsi="Bookman Old Style" w:cs="Arial"/>
          <w:b/>
          <w:sz w:val="56"/>
          <w:szCs w:val="20"/>
        </w:rPr>
        <w:br/>
      </w:r>
      <w:r w:rsidRPr="00E44944">
        <w:rPr>
          <w:rFonts w:ascii="Bookman Old Style" w:hAnsi="Bookman Old Style" w:cs="Arial"/>
          <w:b/>
          <w:sz w:val="56"/>
          <w:szCs w:val="20"/>
        </w:rPr>
        <w:t xml:space="preserve">i Edukacji </w:t>
      </w:r>
      <w:r w:rsidRPr="00E44944">
        <w:rPr>
          <w:rFonts w:ascii="Bookman Old Style" w:hAnsi="Bookman Old Style" w:cs="Arial"/>
          <w:b/>
          <w:sz w:val="56"/>
          <w:szCs w:val="20"/>
        </w:rPr>
        <w:br/>
      </w:r>
      <w:r w:rsidRPr="00092012">
        <w:rPr>
          <w:rFonts w:ascii="Bookman Old Style" w:hAnsi="Bookman Old Style" w:cs="Arial"/>
          <w:b/>
          <w:sz w:val="56"/>
          <w:szCs w:val="20"/>
        </w:rPr>
        <w:t xml:space="preserve">w </w:t>
      </w:r>
      <w:r w:rsidR="00E44944" w:rsidRPr="00092012">
        <w:rPr>
          <w:rFonts w:ascii="Bookman Old Style" w:hAnsi="Bookman Old Style" w:cs="Arial"/>
          <w:b/>
          <w:sz w:val="56"/>
          <w:szCs w:val="20"/>
        </w:rPr>
        <w:t xml:space="preserve">Gminie </w:t>
      </w:r>
      <w:r w:rsidR="00092012" w:rsidRPr="00092012">
        <w:rPr>
          <w:rFonts w:ascii="Bookman Old Style" w:hAnsi="Bookman Old Style" w:cs="Arial"/>
          <w:b/>
          <w:sz w:val="56"/>
          <w:szCs w:val="20"/>
        </w:rPr>
        <w:t>Wieprz</w:t>
      </w:r>
      <w:r w:rsidR="00E44944" w:rsidRPr="00092012">
        <w:rPr>
          <w:rFonts w:ascii="Bookman Old Style" w:hAnsi="Bookman Old Style" w:cs="Arial"/>
          <w:b/>
          <w:sz w:val="56"/>
          <w:szCs w:val="20"/>
        </w:rPr>
        <w:t xml:space="preserve"> </w:t>
      </w:r>
    </w:p>
    <w:p w:rsidR="002A6F55" w:rsidRPr="00E44944" w:rsidRDefault="002A6F55" w:rsidP="00643106">
      <w:pPr>
        <w:jc w:val="center"/>
        <w:rPr>
          <w:rFonts w:ascii="Bookman Old Style" w:hAnsi="Bookman Old Style" w:cs="Arial"/>
          <w:b/>
          <w:sz w:val="28"/>
          <w:szCs w:val="20"/>
        </w:rPr>
      </w:pPr>
    </w:p>
    <w:p w:rsidR="00092012" w:rsidRDefault="006821D3" w:rsidP="00092012">
      <w:pPr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p</w:t>
      </w:r>
      <w:r w:rsidR="00E44944" w:rsidRPr="00E44944">
        <w:rPr>
          <w:rFonts w:ascii="Bookman Old Style" w:hAnsi="Bookman Old Style" w:cs="Arial"/>
          <w:sz w:val="28"/>
          <w:szCs w:val="20"/>
        </w:rPr>
        <w:t>rzy</w:t>
      </w:r>
      <w:r>
        <w:rPr>
          <w:rFonts w:ascii="Bookman Old Style" w:hAnsi="Bookman Old Style" w:cs="Arial"/>
          <w:sz w:val="28"/>
          <w:szCs w:val="20"/>
        </w:rPr>
        <w:t xml:space="preserve"> </w:t>
      </w:r>
      <w:r w:rsidR="00092012">
        <w:rPr>
          <w:rFonts w:ascii="Bookman Old Style" w:hAnsi="Bookman Old Style" w:cs="Arial"/>
          <w:sz w:val="28"/>
          <w:szCs w:val="20"/>
        </w:rPr>
        <w:t>Zespole</w:t>
      </w:r>
      <w:r w:rsidR="00092012" w:rsidRPr="00092012">
        <w:rPr>
          <w:rFonts w:ascii="Bookman Old Style" w:hAnsi="Bookman Old Style" w:cs="Arial"/>
          <w:sz w:val="28"/>
          <w:szCs w:val="20"/>
        </w:rPr>
        <w:t xml:space="preserve"> Szkolno – Przedszkolny</w:t>
      </w:r>
      <w:r w:rsidR="00092012">
        <w:rPr>
          <w:rFonts w:ascii="Bookman Old Style" w:hAnsi="Bookman Old Style" w:cs="Arial"/>
          <w:sz w:val="28"/>
          <w:szCs w:val="20"/>
        </w:rPr>
        <w:t>m</w:t>
      </w:r>
      <w:r w:rsidR="00092012" w:rsidRPr="00092012">
        <w:rPr>
          <w:rFonts w:ascii="Bookman Old Style" w:hAnsi="Bookman Old Style" w:cs="Arial"/>
          <w:sz w:val="28"/>
          <w:szCs w:val="20"/>
        </w:rPr>
        <w:t xml:space="preserve"> im. Mikołaja Kopernika </w:t>
      </w:r>
    </w:p>
    <w:p w:rsidR="00092012" w:rsidRPr="00092012" w:rsidRDefault="00092012" w:rsidP="00092012">
      <w:pPr>
        <w:jc w:val="center"/>
        <w:rPr>
          <w:rFonts w:ascii="Bookman Old Style" w:hAnsi="Bookman Old Style" w:cs="Arial"/>
          <w:sz w:val="28"/>
          <w:szCs w:val="20"/>
        </w:rPr>
      </w:pPr>
      <w:r w:rsidRPr="00092012">
        <w:rPr>
          <w:rFonts w:ascii="Bookman Old Style" w:hAnsi="Bookman Old Style" w:cs="Arial"/>
          <w:sz w:val="28"/>
          <w:szCs w:val="20"/>
        </w:rPr>
        <w:t>w Nidku</w:t>
      </w:r>
    </w:p>
    <w:p w:rsidR="002A6F55" w:rsidRDefault="00092012" w:rsidP="00092012">
      <w:pPr>
        <w:jc w:val="center"/>
        <w:rPr>
          <w:rFonts w:ascii="Arial" w:hAnsi="Arial" w:cs="Arial"/>
          <w:sz w:val="28"/>
          <w:szCs w:val="20"/>
        </w:rPr>
      </w:pPr>
      <w:r w:rsidRPr="00092012">
        <w:rPr>
          <w:rFonts w:ascii="Bookman Old Style" w:hAnsi="Bookman Old Style" w:cs="Arial"/>
          <w:sz w:val="28"/>
          <w:szCs w:val="20"/>
        </w:rPr>
        <w:t>ul. św. Judy Tadeusza 2, 34-122 Wieprz</w:t>
      </w: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Pr="00E44944" w:rsidRDefault="00273858" w:rsidP="00643106">
      <w:pPr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Styczeń</w:t>
      </w:r>
      <w:r w:rsidR="002A6F55" w:rsidRPr="00E44944">
        <w:rPr>
          <w:rFonts w:ascii="Bookman Old Style" w:hAnsi="Bookman Old Style" w:cs="Arial"/>
          <w:sz w:val="28"/>
          <w:szCs w:val="20"/>
        </w:rPr>
        <w:t xml:space="preserve"> 202</w:t>
      </w:r>
      <w:r>
        <w:rPr>
          <w:rFonts w:ascii="Bookman Old Style" w:hAnsi="Bookman Old Style" w:cs="Arial"/>
          <w:sz w:val="28"/>
          <w:szCs w:val="20"/>
        </w:rPr>
        <w:t>1</w:t>
      </w:r>
    </w:p>
    <w:p w:rsidR="002A6F55" w:rsidRDefault="002A6F55">
      <w:pPr>
        <w:spacing w:after="200" w:line="276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br w:type="page"/>
      </w:r>
    </w:p>
    <w:p w:rsidR="000B17D1" w:rsidRDefault="00E44944" w:rsidP="002941D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0"/>
        </w:rPr>
        <w:lastRenderedPageBreak/>
        <w:tab/>
      </w:r>
    </w:p>
    <w:p w:rsidR="008F556E" w:rsidRPr="00FE0CE0" w:rsidRDefault="008F556E" w:rsidP="008F556E">
      <w:pPr>
        <w:spacing w:after="120"/>
        <w:jc w:val="center"/>
        <w:rPr>
          <w:rFonts w:asciiTheme="majorHAnsi" w:hAnsiTheme="majorHAnsi" w:cs="Arial"/>
          <w:b/>
          <w:sz w:val="20"/>
        </w:rPr>
        <w:sectPr w:rsidR="008F556E" w:rsidRPr="00FE0CE0" w:rsidSect="00044242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1134" w:right="1418" w:bottom="1418" w:left="1134" w:header="624" w:footer="709" w:gutter="0"/>
          <w:cols w:space="708"/>
          <w:titlePg/>
          <w:docGrid w:linePitch="360"/>
        </w:sectPr>
      </w:pPr>
      <w:r w:rsidRPr="00FE0CE0">
        <w:rPr>
          <w:rFonts w:asciiTheme="majorHAnsi" w:hAnsiTheme="majorHAnsi" w:cs="Arial"/>
          <w:b/>
        </w:rPr>
        <w:t>PODSTAWOWE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8F556E" w:rsidRPr="00FE0CE0" w:rsidTr="004F4D92">
        <w:trPr>
          <w:trHeight w:val="568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Tytuł działania</w:t>
            </w:r>
          </w:p>
        </w:tc>
        <w:tc>
          <w:tcPr>
            <w:tcW w:w="7229" w:type="dxa"/>
          </w:tcPr>
          <w:p w:rsidR="008F556E" w:rsidRPr="005131AA" w:rsidRDefault="008F556E" w:rsidP="00092012">
            <w:pPr>
              <w:rPr>
                <w:rFonts w:asciiTheme="majorHAnsi" w:hAnsiTheme="majorHAnsi" w:cs="Arial"/>
                <w:color w:val="3333FF"/>
              </w:rPr>
            </w:pPr>
            <w:r w:rsidRPr="005131AA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„</w:t>
            </w:r>
            <w:r w:rsidR="00092012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Pożar wewnętrzny – przyczyny, zagrożenia</w:t>
            </w:r>
            <w:r w:rsidR="002424F1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, sposób postępowania</w:t>
            </w:r>
            <w:r w:rsidRPr="005131AA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”</w:t>
            </w:r>
          </w:p>
        </w:tc>
      </w:tr>
      <w:tr w:rsidR="008F556E" w:rsidRPr="00FE0CE0" w:rsidTr="004F4D92">
        <w:trPr>
          <w:trHeight w:val="540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4F4D92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229" w:type="dxa"/>
          </w:tcPr>
          <w:p w:rsidR="008F556E" w:rsidRDefault="00092012" w:rsidP="004F4D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  <w:r w:rsidR="002424F1">
              <w:t xml:space="preserve"> </w:t>
            </w:r>
            <w:r w:rsidR="002424F1" w:rsidRPr="002424F1">
              <w:rPr>
                <w:rFonts w:asciiTheme="majorHAnsi" w:hAnsiTheme="majorHAnsi" w:cs="Arial"/>
              </w:rPr>
              <w:t>OSP Frydrychowice</w:t>
            </w:r>
            <w:r w:rsidR="002424F1">
              <w:rPr>
                <w:rFonts w:asciiTheme="majorHAnsi" w:hAnsiTheme="majorHAnsi" w:cs="Arial"/>
              </w:rPr>
              <w:t xml:space="preserve">, </w:t>
            </w:r>
            <w:r w:rsidR="002424F1">
              <w:t>Frydrychowice, ul. Floriańska 10, 34 – 108 Frydrychowice</w:t>
            </w:r>
          </w:p>
          <w:p w:rsidR="00092012" w:rsidRDefault="00092012" w:rsidP="004F4D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  <w:r w:rsidR="002424F1">
              <w:rPr>
                <w:rFonts w:asciiTheme="majorHAnsi" w:hAnsiTheme="majorHAnsi" w:cs="Arial"/>
              </w:rPr>
              <w:t xml:space="preserve"> </w:t>
            </w:r>
            <w:r w:rsidR="002424F1" w:rsidRPr="002424F1">
              <w:rPr>
                <w:rFonts w:asciiTheme="majorHAnsi" w:hAnsiTheme="majorHAnsi" w:cs="Arial"/>
              </w:rPr>
              <w:t>OSP Gierałtowice</w:t>
            </w:r>
            <w:r w:rsidR="002424F1">
              <w:rPr>
                <w:rFonts w:asciiTheme="majorHAnsi" w:hAnsiTheme="majorHAnsi" w:cs="Arial"/>
              </w:rPr>
              <w:t xml:space="preserve">, </w:t>
            </w:r>
            <w:r w:rsidR="002424F1">
              <w:t>Gierałtowice, ul. Św. Marcina 10, 34 – 122 Wieprz</w:t>
            </w:r>
          </w:p>
          <w:p w:rsidR="00092012" w:rsidRDefault="00092012" w:rsidP="004F4D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  <w:r w:rsidR="002424F1">
              <w:rPr>
                <w:rFonts w:asciiTheme="majorHAnsi" w:hAnsiTheme="majorHAnsi" w:cs="Arial"/>
              </w:rPr>
              <w:t xml:space="preserve"> </w:t>
            </w:r>
            <w:r w:rsidR="002424F1" w:rsidRPr="002424F1">
              <w:rPr>
                <w:rFonts w:asciiTheme="majorHAnsi" w:hAnsiTheme="majorHAnsi" w:cs="Arial"/>
              </w:rPr>
              <w:t>OSP Nidek</w:t>
            </w:r>
            <w:r w:rsidR="002424F1">
              <w:rPr>
                <w:rFonts w:asciiTheme="majorHAnsi" w:hAnsiTheme="majorHAnsi" w:cs="Arial"/>
              </w:rPr>
              <w:t xml:space="preserve">, </w:t>
            </w:r>
            <w:r w:rsidR="002424F1">
              <w:t>Nidek, ul. św. Jana Pawła II 34, 34 – 122 Wieprz</w:t>
            </w:r>
          </w:p>
          <w:p w:rsidR="00092012" w:rsidRDefault="00092012" w:rsidP="004F4D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4. </w:t>
            </w:r>
            <w:r w:rsidRPr="00092012">
              <w:rPr>
                <w:rFonts w:asciiTheme="majorHAnsi" w:hAnsiTheme="majorHAnsi" w:cs="Arial"/>
              </w:rPr>
              <w:t>OSP Przybradz</w:t>
            </w:r>
            <w:r>
              <w:rPr>
                <w:rFonts w:asciiTheme="majorHAnsi" w:hAnsiTheme="majorHAnsi" w:cs="Arial"/>
              </w:rPr>
              <w:t xml:space="preserve">, </w:t>
            </w:r>
            <w:r>
              <w:t>Przybradz, ul. Szkolna 36, 34 – 108 Frydrychowice</w:t>
            </w:r>
          </w:p>
          <w:p w:rsidR="00092012" w:rsidRPr="00FE0CE0" w:rsidRDefault="00092012" w:rsidP="004F4D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5. OSP Wieprz, </w:t>
            </w:r>
            <w:r w:rsidR="002424F1">
              <w:rPr>
                <w:rFonts w:asciiTheme="majorHAnsi" w:hAnsiTheme="majorHAnsi" w:cs="Arial"/>
              </w:rPr>
              <w:t xml:space="preserve">Wieprz </w:t>
            </w:r>
            <w:r>
              <w:rPr>
                <w:rFonts w:asciiTheme="majorHAnsi" w:hAnsiTheme="majorHAnsi" w:cs="Arial"/>
              </w:rPr>
              <w:t>u</w:t>
            </w:r>
            <w:r w:rsidR="002424F1">
              <w:rPr>
                <w:rFonts w:asciiTheme="majorHAnsi" w:hAnsiTheme="majorHAnsi" w:cs="Arial"/>
              </w:rPr>
              <w:t>l</w:t>
            </w:r>
            <w:r>
              <w:rPr>
                <w:rFonts w:asciiTheme="majorHAnsi" w:hAnsiTheme="majorHAnsi" w:cs="Arial"/>
              </w:rPr>
              <w:t xml:space="preserve">. </w:t>
            </w:r>
            <w:r>
              <w:rPr>
                <w:rStyle w:val="lrzxr"/>
              </w:rPr>
              <w:t>Centralna 21, 34-122 Wieprz</w:t>
            </w:r>
          </w:p>
        </w:tc>
      </w:tr>
    </w:tbl>
    <w:p w:rsidR="008F556E" w:rsidRPr="00FE0CE0" w:rsidRDefault="008F556E" w:rsidP="008F556E">
      <w:pPr>
        <w:rPr>
          <w:rFonts w:asciiTheme="majorHAnsi" w:hAnsiTheme="majorHAnsi" w:cs="Arial"/>
        </w:rPr>
      </w:pPr>
    </w:p>
    <w:p w:rsidR="008F556E" w:rsidRPr="00FE0CE0" w:rsidRDefault="008F556E" w:rsidP="008F556E">
      <w:pPr>
        <w:pStyle w:val="tytu"/>
        <w:spacing w:before="120" w:after="120"/>
        <w:rPr>
          <w:rFonts w:asciiTheme="majorHAnsi" w:hAnsiTheme="majorHAnsi" w:cs="Arial"/>
          <w:b/>
          <w:bCs w:val="0"/>
          <w:sz w:val="24"/>
          <w:szCs w:val="32"/>
        </w:rPr>
      </w:pPr>
      <w:r w:rsidRPr="00FE0CE0">
        <w:rPr>
          <w:rFonts w:asciiTheme="majorHAnsi" w:hAnsiTheme="majorHAnsi" w:cs="Arial"/>
          <w:b/>
          <w:bCs w:val="0"/>
          <w:sz w:val="24"/>
          <w:szCs w:val="32"/>
        </w:rPr>
        <w:t>ZAŁOŻENIA PROGRAMOWE I REALIZACYJNE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30"/>
      </w:tblGrid>
      <w:tr w:rsidR="008F556E" w:rsidRPr="00FE0CE0" w:rsidTr="004F4D92">
        <w:trPr>
          <w:trHeight w:val="1665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Cele</w:t>
            </w:r>
          </w:p>
        </w:tc>
        <w:tc>
          <w:tcPr>
            <w:tcW w:w="7230" w:type="dxa"/>
          </w:tcPr>
          <w:p w:rsidR="008F556E" w:rsidRDefault="008F556E" w:rsidP="004F4D92">
            <w:pPr>
              <w:pStyle w:val="Tekstpodstawowywcity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Cel ogólny:</w:t>
            </w:r>
          </w:p>
          <w:p w:rsidR="008F556E" w:rsidRDefault="008F556E" w:rsidP="004F4D92">
            <w:pPr>
              <w:pStyle w:val="Tekstpodstawowywcity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 xml:space="preserve">Budowanie/rozwijanie kompetencji  społecznych i osobistych w obszarach: </w:t>
            </w:r>
          </w:p>
          <w:p w:rsidR="008F556E" w:rsidRDefault="008F556E" w:rsidP="001C34EC">
            <w:pPr>
              <w:pStyle w:val="Tekstpodstawowywcity"/>
              <w:numPr>
                <w:ilvl w:val="0"/>
                <w:numId w:val="22"/>
              </w:numPr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umiejętność uczenia się</w:t>
            </w:r>
            <w:r w:rsidR="001C34EC">
              <w:rPr>
                <w:rFonts w:asciiTheme="majorHAnsi" w:hAnsiTheme="majorHAnsi" w:cs="Arial"/>
                <w:szCs w:val="18"/>
              </w:rPr>
              <w:t>,</w:t>
            </w:r>
            <w:r>
              <w:rPr>
                <w:rFonts w:asciiTheme="majorHAnsi" w:hAnsiTheme="majorHAnsi" w:cs="Arial"/>
                <w:szCs w:val="18"/>
              </w:rPr>
              <w:t xml:space="preserve"> </w:t>
            </w:r>
          </w:p>
          <w:p w:rsidR="00FC4F76" w:rsidRPr="00FC4F76" w:rsidRDefault="008F556E" w:rsidP="00FC4F76">
            <w:pPr>
              <w:pStyle w:val="Tekstpodstawowywcity"/>
              <w:numPr>
                <w:ilvl w:val="0"/>
                <w:numId w:val="22"/>
              </w:numPr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kompet</w:t>
            </w:r>
            <w:r w:rsidR="00FC4F76">
              <w:rPr>
                <w:rFonts w:asciiTheme="majorHAnsi" w:hAnsiTheme="majorHAnsi" w:cs="Arial"/>
                <w:szCs w:val="18"/>
              </w:rPr>
              <w:t>encje społeczne i obywatelskie.</w:t>
            </w:r>
          </w:p>
          <w:p w:rsidR="008F556E" w:rsidRDefault="008F556E" w:rsidP="001C34EC">
            <w:pPr>
              <w:pStyle w:val="Tekstpodstawowywcity"/>
              <w:spacing w:before="0"/>
              <w:ind w:left="777"/>
              <w:rPr>
                <w:rFonts w:asciiTheme="majorHAnsi" w:hAnsiTheme="majorHAnsi" w:cs="Arial"/>
                <w:szCs w:val="18"/>
              </w:rPr>
            </w:pPr>
          </w:p>
          <w:p w:rsidR="008F556E" w:rsidRDefault="008F556E" w:rsidP="004F4D92">
            <w:pPr>
              <w:pStyle w:val="Tekstpodstawowywcity"/>
              <w:ind w:left="72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Cele szczegółowe:</w:t>
            </w:r>
          </w:p>
          <w:p w:rsidR="002424F1" w:rsidRDefault="002424F1" w:rsidP="002424F1">
            <w:pPr>
              <w:pStyle w:val="Tekstpodstawowywcity"/>
              <w:numPr>
                <w:ilvl w:val="0"/>
                <w:numId w:val="23"/>
              </w:numPr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nabycie umiejętności zachowywania się w sytuacji kryzysowej</w:t>
            </w:r>
            <w:r w:rsidRPr="002424F1">
              <w:rPr>
                <w:rFonts w:asciiTheme="majorHAnsi" w:hAnsiTheme="majorHAnsi" w:cs="Arial"/>
                <w:szCs w:val="18"/>
              </w:rPr>
              <w:t>,</w:t>
            </w:r>
          </w:p>
          <w:p w:rsidR="002424F1" w:rsidRDefault="002424F1" w:rsidP="002424F1">
            <w:pPr>
              <w:pStyle w:val="Tekstpodstawowywcity"/>
              <w:numPr>
                <w:ilvl w:val="0"/>
                <w:numId w:val="23"/>
              </w:numPr>
              <w:spacing w:before="0"/>
              <w:rPr>
                <w:rFonts w:asciiTheme="majorHAnsi" w:hAnsiTheme="majorHAnsi" w:cs="Arial"/>
                <w:szCs w:val="18"/>
              </w:rPr>
            </w:pPr>
            <w:r w:rsidRPr="002424F1">
              <w:rPr>
                <w:rFonts w:asciiTheme="majorHAnsi" w:hAnsiTheme="majorHAnsi" w:cs="Arial"/>
                <w:szCs w:val="18"/>
              </w:rPr>
              <w:t>zrozumieni</w:t>
            </w:r>
            <w:r>
              <w:rPr>
                <w:rFonts w:asciiTheme="majorHAnsi" w:hAnsiTheme="majorHAnsi" w:cs="Arial"/>
                <w:szCs w:val="18"/>
              </w:rPr>
              <w:t>e</w:t>
            </w:r>
            <w:r w:rsidRPr="002424F1">
              <w:rPr>
                <w:rFonts w:asciiTheme="majorHAnsi" w:hAnsiTheme="majorHAnsi" w:cs="Arial"/>
                <w:szCs w:val="18"/>
              </w:rPr>
              <w:t xml:space="preserve"> procesu rozwoju pożaru w pomieszczeniu lub obiekcie</w:t>
            </w:r>
          </w:p>
          <w:p w:rsidR="002424F1" w:rsidRDefault="002424F1" w:rsidP="00406615">
            <w:pPr>
              <w:pStyle w:val="Tekstpodstawowywcity"/>
              <w:numPr>
                <w:ilvl w:val="0"/>
                <w:numId w:val="23"/>
              </w:numPr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 xml:space="preserve">zdobycie </w:t>
            </w:r>
            <w:r w:rsidRPr="002424F1">
              <w:rPr>
                <w:rFonts w:asciiTheme="majorHAnsi" w:hAnsiTheme="majorHAnsi" w:cs="Arial"/>
                <w:szCs w:val="18"/>
              </w:rPr>
              <w:t>umiejętności odczytywania oznak zachowania się pożaru,</w:t>
            </w:r>
          </w:p>
          <w:p w:rsidR="00273858" w:rsidRDefault="00273858" w:rsidP="00406615">
            <w:pPr>
              <w:pStyle w:val="Tekstpodstawowywcity"/>
              <w:numPr>
                <w:ilvl w:val="0"/>
                <w:numId w:val="23"/>
              </w:numPr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poznanie zasad ewakuacji,</w:t>
            </w:r>
          </w:p>
          <w:p w:rsidR="00273858" w:rsidRPr="00FC4F76" w:rsidRDefault="00273858" w:rsidP="00FC4F76">
            <w:pPr>
              <w:pStyle w:val="Tekstpodstawowywcity"/>
              <w:numPr>
                <w:ilvl w:val="0"/>
                <w:numId w:val="23"/>
              </w:numPr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rozwój umiejętności współpracy ze służbami ratowniczymi,</w:t>
            </w:r>
          </w:p>
          <w:p w:rsidR="008F556E" w:rsidRDefault="001C34EC" w:rsidP="001C34EC">
            <w:pPr>
              <w:pStyle w:val="Tekstpodstawowywcity"/>
              <w:numPr>
                <w:ilvl w:val="0"/>
                <w:numId w:val="23"/>
              </w:numPr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p</w:t>
            </w:r>
            <w:r w:rsidR="008F556E">
              <w:rPr>
                <w:rFonts w:asciiTheme="majorHAnsi" w:hAnsiTheme="majorHAnsi" w:cs="Arial"/>
                <w:szCs w:val="18"/>
              </w:rPr>
              <w:t>obudzanie wyobraźni</w:t>
            </w:r>
            <w:r w:rsidR="00FC4F76">
              <w:rPr>
                <w:rFonts w:asciiTheme="majorHAnsi" w:hAnsiTheme="majorHAnsi" w:cs="Arial"/>
                <w:szCs w:val="18"/>
              </w:rPr>
              <w:t>.</w:t>
            </w:r>
          </w:p>
          <w:p w:rsidR="008F556E" w:rsidRPr="00E3276E" w:rsidRDefault="008F556E" w:rsidP="00FC4F76">
            <w:pPr>
              <w:pStyle w:val="Tekstpodstawowywcity"/>
              <w:spacing w:before="0"/>
              <w:ind w:left="432"/>
              <w:rPr>
                <w:rFonts w:asciiTheme="majorHAnsi" w:hAnsiTheme="majorHAnsi" w:cs="Arial"/>
                <w:szCs w:val="18"/>
              </w:rPr>
            </w:pPr>
          </w:p>
        </w:tc>
      </w:tr>
      <w:tr w:rsidR="008F556E" w:rsidRPr="00FE0CE0" w:rsidTr="008F556E">
        <w:trPr>
          <w:trHeight w:val="836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Spodziewane efekty  uczenia się</w:t>
            </w:r>
          </w:p>
        </w:tc>
        <w:tc>
          <w:tcPr>
            <w:tcW w:w="7230" w:type="dxa"/>
          </w:tcPr>
          <w:p w:rsidR="008F556E" w:rsidRDefault="008F556E" w:rsidP="004F4D92">
            <w:pPr>
              <w:spacing w:before="80"/>
              <w:ind w:left="57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0B4BC9">
              <w:rPr>
                <w:rFonts w:asciiTheme="majorHAnsi" w:hAnsiTheme="majorHAnsi" w:cs="Arial"/>
                <w:b/>
                <w:sz w:val="20"/>
                <w:szCs w:val="18"/>
              </w:rPr>
              <w:t>W zakresie wiedzy:</w:t>
            </w:r>
          </w:p>
          <w:p w:rsidR="00FC4F76" w:rsidRPr="000B4BC9" w:rsidRDefault="00FC4F76" w:rsidP="004F4D92">
            <w:pPr>
              <w:spacing w:before="80"/>
              <w:ind w:left="57"/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  <w:p w:rsidR="00FC4F76" w:rsidRPr="000E5914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 w:rsidRPr="000E5914">
              <w:rPr>
                <w:rFonts w:asciiTheme="majorHAnsi" w:hAnsiTheme="majorHAnsi" w:cs="Arial"/>
                <w:sz w:val="20"/>
                <w:szCs w:val="18"/>
              </w:rPr>
              <w:t>−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Pr="000E5914">
              <w:rPr>
                <w:rFonts w:asciiTheme="majorHAnsi" w:hAnsiTheme="majorHAnsi" w:cs="Arial"/>
                <w:sz w:val="20"/>
                <w:szCs w:val="18"/>
              </w:rPr>
              <w:t>rozróżnić spalanie płomieniowe i bezpłomieniowe,</w:t>
            </w:r>
          </w:p>
          <w:p w:rsidR="00FC4F76" w:rsidRPr="000E5914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 w:rsidRPr="000E5914">
              <w:rPr>
                <w:rFonts w:asciiTheme="majorHAnsi" w:hAnsiTheme="majorHAnsi" w:cs="Arial"/>
                <w:sz w:val="20"/>
                <w:szCs w:val="18"/>
              </w:rPr>
              <w:t>−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Pr="000E5914">
              <w:rPr>
                <w:rFonts w:asciiTheme="majorHAnsi" w:hAnsiTheme="majorHAnsi" w:cs="Arial"/>
                <w:sz w:val="20"/>
                <w:szCs w:val="18"/>
              </w:rPr>
              <w:t>omówić transport ciepła poprzez promieniowanie, przewodzenie i konwekcję,</w:t>
            </w:r>
          </w:p>
          <w:p w:rsidR="00FC4F76" w:rsidRPr="000E5914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 w:rsidRPr="000E5914">
              <w:rPr>
                <w:rFonts w:asciiTheme="majorHAnsi" w:hAnsiTheme="majorHAnsi" w:cs="Arial"/>
                <w:sz w:val="20"/>
                <w:szCs w:val="18"/>
              </w:rPr>
              <w:t>−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Pr="000E5914">
              <w:rPr>
                <w:rFonts w:asciiTheme="majorHAnsi" w:hAnsiTheme="majorHAnsi" w:cs="Arial"/>
                <w:sz w:val="20"/>
                <w:szCs w:val="18"/>
              </w:rPr>
              <w:t>zdefiniować zakres oraz dolną/górną granicę wybuchowości/palności,</w:t>
            </w:r>
          </w:p>
          <w:p w:rsidR="00FC4F76" w:rsidRDefault="00FC4F76" w:rsidP="004F4D92">
            <w:pPr>
              <w:spacing w:before="80"/>
              <w:ind w:left="57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- </w:t>
            </w:r>
            <w:r w:rsidRPr="000E5914">
              <w:rPr>
                <w:rFonts w:asciiTheme="majorHAnsi" w:hAnsiTheme="majorHAnsi" w:cs="Arial"/>
                <w:sz w:val="20"/>
                <w:szCs w:val="18"/>
              </w:rPr>
              <w:t>wymienić i scharakteryzować etapy rozwoju pożaru w pomieszczeniu,</w:t>
            </w:r>
          </w:p>
          <w:p w:rsidR="00FC4F76" w:rsidRPr="000E5914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 w:rsidRPr="000E5914">
              <w:rPr>
                <w:rFonts w:asciiTheme="majorHAnsi" w:hAnsiTheme="majorHAnsi" w:cs="Arial"/>
                <w:sz w:val="20"/>
                <w:szCs w:val="18"/>
              </w:rPr>
              <w:t>−omówić  występujące podczas rozwoju pożaru w pomieszczeniu  zmiany: ciśnienia, temperatury, szybkości wydzielania się ciepła, stężenia gazów tlenu, tlenku węgla pod kątem bezpieczeństwa wejścia strażaka do strefy zagrożenia oraz możliwości bezpiecznej ewakuacji osób zagrożonych,</w:t>
            </w:r>
          </w:p>
          <w:p w:rsidR="00FC4F76" w:rsidRPr="000E5914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 w:rsidRPr="000E5914">
              <w:rPr>
                <w:rFonts w:asciiTheme="majorHAnsi" w:hAnsiTheme="majorHAnsi" w:cs="Arial"/>
                <w:sz w:val="20"/>
                <w:szCs w:val="18"/>
              </w:rPr>
              <w:t>−przedstawić  model  strefowy  pożaru  i  objaśnić  występujące  w  nim  strefy,  w  tym płaszczyznę neutralną,</w:t>
            </w:r>
          </w:p>
          <w:p w:rsidR="00FC4F76" w:rsidRPr="000E5914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 w:rsidRPr="000E5914">
              <w:rPr>
                <w:rFonts w:asciiTheme="majorHAnsi" w:hAnsiTheme="majorHAnsi" w:cs="Arial"/>
                <w:sz w:val="20"/>
                <w:szCs w:val="18"/>
              </w:rPr>
              <w:t xml:space="preserve">−scharakteryzować  pożar kontrolowany przez paliwo  i  pożar  kontrolowany  przez dopływ powietrza (wentylację), </w:t>
            </w:r>
          </w:p>
          <w:p w:rsidR="00FC4F76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 w:rsidRPr="000E5914">
              <w:rPr>
                <w:rFonts w:asciiTheme="majorHAnsi" w:hAnsiTheme="majorHAnsi" w:cs="Arial"/>
                <w:sz w:val="20"/>
                <w:szCs w:val="18"/>
              </w:rPr>
              <w:t xml:space="preserve">−wymienić  i  opisać  zjawiska  pożarowe:  rozgorzenie,  wsteczny  ciąg  płomienia  oraz zapłon gazów pożarowych </w:t>
            </w:r>
          </w:p>
          <w:p w:rsidR="00FC4F76" w:rsidRDefault="00FC4F76" w:rsidP="004F4D92">
            <w:pPr>
              <w:spacing w:before="80"/>
              <w:ind w:left="57"/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  <w:p w:rsidR="00FC4F76" w:rsidRDefault="00FC4F76" w:rsidP="004F4D92">
            <w:pPr>
              <w:spacing w:before="80"/>
              <w:ind w:left="57"/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  <w:p w:rsidR="008F556E" w:rsidRPr="000B4BC9" w:rsidRDefault="008F556E" w:rsidP="004F4D92">
            <w:pPr>
              <w:spacing w:before="80"/>
              <w:ind w:left="57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0B4BC9">
              <w:rPr>
                <w:rFonts w:asciiTheme="majorHAnsi" w:hAnsiTheme="majorHAnsi" w:cs="Arial"/>
                <w:b/>
                <w:sz w:val="20"/>
                <w:szCs w:val="18"/>
              </w:rPr>
              <w:t>W zakresie umiejętności:</w:t>
            </w:r>
          </w:p>
          <w:p w:rsidR="00FC4F76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 w:rsidRPr="000E5914">
              <w:rPr>
                <w:rFonts w:asciiTheme="majorHAnsi" w:hAnsiTheme="majorHAnsi" w:cs="Arial"/>
                <w:sz w:val="20"/>
                <w:szCs w:val="18"/>
              </w:rPr>
              <w:t>−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wie jak wykonać prawidłową technikę otwarcia drzwi do płonącego pomieszczenia;</w:t>
            </w:r>
          </w:p>
          <w:p w:rsidR="00FC4F76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- potrafi dostosować sposób postepowania do skali rozwoju zagrożenia pożarowego;</w:t>
            </w:r>
          </w:p>
          <w:p w:rsidR="00FC4F76" w:rsidRPr="000E5914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lastRenderedPageBreak/>
              <w:t>- potrafi w poprawny sposób przeprowadzić ewakuacje z płonącego budynku</w:t>
            </w:r>
          </w:p>
          <w:p w:rsidR="00FC4F76" w:rsidRDefault="00FC4F76" w:rsidP="004F4D92">
            <w:pPr>
              <w:spacing w:before="80"/>
              <w:ind w:left="57"/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  <w:p w:rsidR="008F556E" w:rsidRPr="000B4BC9" w:rsidRDefault="008F556E" w:rsidP="004F4D92">
            <w:pPr>
              <w:spacing w:before="80"/>
              <w:ind w:left="57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0B4BC9">
              <w:rPr>
                <w:rFonts w:asciiTheme="majorHAnsi" w:hAnsiTheme="majorHAnsi" w:cs="Arial"/>
                <w:b/>
                <w:sz w:val="20"/>
                <w:szCs w:val="18"/>
              </w:rPr>
              <w:t>W zakresie postaw:</w:t>
            </w:r>
          </w:p>
          <w:p w:rsidR="008F556E" w:rsidRDefault="006055D2" w:rsidP="004F4D92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k</w:t>
            </w:r>
            <w:r w:rsidR="008F556E">
              <w:rPr>
                <w:rFonts w:asciiTheme="majorHAnsi" w:hAnsiTheme="majorHAnsi" w:cs="Arial"/>
                <w:sz w:val="20"/>
                <w:szCs w:val="18"/>
              </w:rPr>
              <w:t>ształtuje u siebie pozytywne relacje społeczne</w:t>
            </w:r>
            <w:r>
              <w:rPr>
                <w:rFonts w:asciiTheme="majorHAnsi" w:hAnsiTheme="majorHAnsi" w:cs="Arial"/>
                <w:sz w:val="20"/>
                <w:szCs w:val="18"/>
              </w:rPr>
              <w:t>,</w:t>
            </w:r>
          </w:p>
          <w:p w:rsidR="008F556E" w:rsidRDefault="006055D2" w:rsidP="004F4D92">
            <w:pPr>
              <w:pStyle w:val="Akapitzlist"/>
              <w:numPr>
                <w:ilvl w:val="0"/>
                <w:numId w:val="14"/>
              </w:numPr>
              <w:spacing w:before="80" w:after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</w:t>
            </w:r>
            <w:r w:rsidR="008F556E">
              <w:rPr>
                <w:rFonts w:asciiTheme="majorHAnsi" w:hAnsiTheme="majorHAnsi" w:cs="Arial"/>
                <w:sz w:val="20"/>
                <w:szCs w:val="18"/>
              </w:rPr>
              <w:t>ierzy we własne możliwości</w:t>
            </w:r>
            <w:r>
              <w:rPr>
                <w:rFonts w:asciiTheme="majorHAnsi" w:hAnsiTheme="majorHAnsi" w:cs="Arial"/>
                <w:sz w:val="20"/>
                <w:szCs w:val="18"/>
              </w:rPr>
              <w:t>,</w:t>
            </w:r>
          </w:p>
          <w:p w:rsidR="008F556E" w:rsidRDefault="006055D2" w:rsidP="004F4D92">
            <w:pPr>
              <w:pStyle w:val="Akapitzlist"/>
              <w:numPr>
                <w:ilvl w:val="0"/>
                <w:numId w:val="14"/>
              </w:numPr>
              <w:spacing w:before="80" w:after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rozwija własne zainteresowania,</w:t>
            </w:r>
          </w:p>
          <w:p w:rsidR="008F556E" w:rsidRDefault="006055D2" w:rsidP="004F4D92">
            <w:pPr>
              <w:pStyle w:val="Akapitzlist"/>
              <w:numPr>
                <w:ilvl w:val="0"/>
                <w:numId w:val="14"/>
              </w:numPr>
              <w:spacing w:before="80" w:after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p</w:t>
            </w:r>
            <w:r w:rsidR="008F556E">
              <w:rPr>
                <w:rFonts w:asciiTheme="majorHAnsi" w:hAnsiTheme="majorHAnsi" w:cs="Arial"/>
                <w:sz w:val="20"/>
                <w:szCs w:val="18"/>
              </w:rPr>
              <w:t>obudza koordynację wzrokową i ruchową</w:t>
            </w:r>
            <w:r>
              <w:rPr>
                <w:rFonts w:asciiTheme="majorHAnsi" w:hAnsiTheme="majorHAnsi" w:cs="Arial"/>
                <w:sz w:val="20"/>
                <w:szCs w:val="18"/>
              </w:rPr>
              <w:t>,</w:t>
            </w:r>
          </w:p>
          <w:p w:rsidR="008F556E" w:rsidRPr="008F556E" w:rsidRDefault="006055D2" w:rsidP="008F556E">
            <w:pPr>
              <w:pStyle w:val="Akapitzlist"/>
              <w:numPr>
                <w:ilvl w:val="0"/>
                <w:numId w:val="14"/>
              </w:numPr>
              <w:spacing w:before="80" w:after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p</w:t>
            </w:r>
            <w:r w:rsidR="008F556E">
              <w:rPr>
                <w:rFonts w:asciiTheme="majorHAnsi" w:hAnsiTheme="majorHAnsi" w:cs="Arial"/>
                <w:sz w:val="20"/>
                <w:szCs w:val="18"/>
              </w:rPr>
              <w:t>odnosi samoocenę</w:t>
            </w:r>
            <w:r>
              <w:rPr>
                <w:rFonts w:asciiTheme="majorHAnsi" w:hAnsiTheme="majorHAnsi" w:cs="Arial"/>
                <w:sz w:val="20"/>
                <w:szCs w:val="18"/>
              </w:rPr>
              <w:t>.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4F4D92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lastRenderedPageBreak/>
              <w:t>Ramowy program</w:t>
            </w:r>
          </w:p>
        </w:tc>
        <w:tc>
          <w:tcPr>
            <w:tcW w:w="7230" w:type="dxa"/>
          </w:tcPr>
          <w:p w:rsidR="008F556E" w:rsidRDefault="008F556E" w:rsidP="00FC4F76">
            <w:pPr>
              <w:pStyle w:val="Default"/>
              <w:rPr>
                <w:rFonts w:asciiTheme="majorHAnsi" w:hAnsiTheme="majorHAnsi" w:cs="Arial"/>
                <w:sz w:val="20"/>
                <w:szCs w:val="18"/>
              </w:rPr>
            </w:pPr>
          </w:p>
          <w:p w:rsidR="00FC4F76" w:rsidRDefault="00FC4F76" w:rsidP="00FC4F76">
            <w:pPr>
              <w:pStyle w:val="Default"/>
              <w:ind w:left="720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18"/>
              </w:rPr>
              <w:t>Dzień pierwszy:</w:t>
            </w:r>
          </w:p>
          <w:p w:rsidR="00FC4F76" w:rsidRPr="004C5151" w:rsidRDefault="00FC4F76" w:rsidP="00FC4F76">
            <w:pPr>
              <w:pStyle w:val="Default"/>
              <w:ind w:left="720"/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  <w:p w:rsidR="00FC4F76" w:rsidRPr="00FC4F76" w:rsidRDefault="00FC4F76" w:rsidP="00FC4F76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FC4F76">
              <w:rPr>
                <w:rFonts w:asciiTheme="majorHAnsi" w:hAnsiTheme="majorHAnsi"/>
                <w:bCs/>
                <w:sz w:val="20"/>
                <w:szCs w:val="20"/>
              </w:rPr>
              <w:t>Rozpoczęcie i powitanie</w:t>
            </w:r>
          </w:p>
          <w:p w:rsidR="00FC4F76" w:rsidRPr="00FC4F76" w:rsidRDefault="00FC4F76" w:rsidP="00FC4F76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FC4F76">
              <w:rPr>
                <w:rFonts w:asciiTheme="majorHAnsi" w:hAnsiTheme="majorHAnsi"/>
                <w:sz w:val="20"/>
                <w:szCs w:val="18"/>
              </w:rPr>
              <w:t xml:space="preserve">Wykład pt.: </w:t>
            </w:r>
            <w:r>
              <w:rPr>
                <w:rFonts w:asciiTheme="majorHAnsi" w:hAnsiTheme="majorHAnsi"/>
                <w:sz w:val="20"/>
                <w:szCs w:val="18"/>
              </w:rPr>
              <w:t>„T</w:t>
            </w:r>
            <w:r w:rsidRPr="00FC4F76">
              <w:rPr>
                <w:rFonts w:asciiTheme="majorHAnsi" w:hAnsiTheme="majorHAnsi"/>
                <w:sz w:val="20"/>
                <w:szCs w:val="18"/>
              </w:rPr>
              <w:t>eoria spalania i charakterystyka pożarów wewnętrznych”</w:t>
            </w:r>
          </w:p>
          <w:p w:rsidR="00FC4F76" w:rsidRPr="00FC4F76" w:rsidRDefault="00FC4F76" w:rsidP="00FC4F76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FC4F76">
              <w:rPr>
                <w:rFonts w:asciiTheme="majorHAnsi" w:hAnsiTheme="majorHAnsi"/>
                <w:sz w:val="20"/>
                <w:szCs w:val="18"/>
              </w:rPr>
              <w:t>Zakończenie</w:t>
            </w:r>
          </w:p>
          <w:p w:rsidR="00FC4F76" w:rsidRDefault="00FC4F76" w:rsidP="00FC4F76">
            <w:pPr>
              <w:pStyle w:val="Default"/>
              <w:ind w:left="720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FC4F76" w:rsidRPr="004C5151" w:rsidRDefault="00FC4F76" w:rsidP="00FC4F76">
            <w:pPr>
              <w:pStyle w:val="Default"/>
              <w:ind w:left="720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Dzień drugi:</w:t>
            </w:r>
          </w:p>
          <w:p w:rsidR="00FC4F76" w:rsidRPr="00FC4F76" w:rsidRDefault="00FC4F76" w:rsidP="00FC4F76">
            <w:pPr>
              <w:pStyle w:val="Default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FC4F76">
              <w:rPr>
                <w:rFonts w:asciiTheme="majorHAnsi" w:hAnsiTheme="majorHAnsi" w:cs="Arial"/>
                <w:sz w:val="20"/>
                <w:szCs w:val="18"/>
              </w:rPr>
              <w:t>Wykład pt.: „Woda jako środek gaśniczy”</w:t>
            </w:r>
          </w:p>
          <w:p w:rsidR="00FC4F76" w:rsidRPr="00FC4F76" w:rsidRDefault="00FC4F76" w:rsidP="00FC4F76">
            <w:pPr>
              <w:pStyle w:val="Default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FC4F76">
              <w:rPr>
                <w:rFonts w:asciiTheme="majorHAnsi" w:hAnsiTheme="majorHAnsi" w:cs="Arial"/>
                <w:sz w:val="20"/>
                <w:szCs w:val="18"/>
              </w:rPr>
              <w:t>Omówienie zajęć praktycznych (w tym BHP).</w:t>
            </w:r>
          </w:p>
          <w:p w:rsidR="00FC4F76" w:rsidRPr="00FC4F76" w:rsidRDefault="00FC4F76" w:rsidP="00FC4F76">
            <w:pPr>
              <w:pStyle w:val="Default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FC4F76">
              <w:rPr>
                <w:rFonts w:asciiTheme="majorHAnsi" w:hAnsiTheme="majorHAnsi" w:cs="Arial"/>
                <w:sz w:val="20"/>
                <w:szCs w:val="18"/>
              </w:rPr>
              <w:t>Pokaz praktyczny rozwoju pożaru na tzw. „Domkach ogniowych”</w:t>
            </w:r>
          </w:p>
          <w:p w:rsidR="00FC4F76" w:rsidRDefault="00FC4F76" w:rsidP="00FC4F76">
            <w:pPr>
              <w:pStyle w:val="Default"/>
              <w:ind w:left="720"/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  <w:p w:rsidR="00FC4F76" w:rsidRPr="00FC4F76" w:rsidRDefault="00FC4F76" w:rsidP="00FC4F76">
            <w:pPr>
              <w:pStyle w:val="Default"/>
              <w:rPr>
                <w:rFonts w:asciiTheme="majorHAnsi" w:hAnsiTheme="majorHAnsi" w:cs="Arial"/>
                <w:sz w:val="20"/>
                <w:szCs w:val="18"/>
              </w:rPr>
            </w:pPr>
            <w:r w:rsidRPr="00FC4F76">
              <w:rPr>
                <w:rFonts w:asciiTheme="majorHAnsi" w:hAnsiTheme="majorHAnsi" w:cs="Arial"/>
                <w:sz w:val="20"/>
                <w:szCs w:val="18"/>
              </w:rPr>
              <w:t>Ćwiczenia praktyczne: otwieranie drzwi, techniki operowania prądami gaśniczymi.</w:t>
            </w:r>
          </w:p>
          <w:p w:rsidR="00FC4F76" w:rsidRPr="008E4A53" w:rsidRDefault="00FC4F76" w:rsidP="00FC4F76">
            <w:pPr>
              <w:pStyle w:val="Default"/>
              <w:rPr>
                <w:rFonts w:asciiTheme="majorHAnsi" w:hAnsiTheme="majorHAnsi" w:cs="Arial"/>
                <w:sz w:val="20"/>
                <w:szCs w:val="18"/>
              </w:rPr>
            </w:pP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Czas trwania i sposób organizacji</w:t>
            </w:r>
          </w:p>
        </w:tc>
        <w:tc>
          <w:tcPr>
            <w:tcW w:w="7230" w:type="dxa"/>
          </w:tcPr>
          <w:p w:rsidR="00FC4F76" w:rsidRDefault="00FC4F76" w:rsidP="00FC4F76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</w:p>
          <w:p w:rsidR="00FC4F76" w:rsidRDefault="00FC4F76" w:rsidP="00FC4F76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Jedna jednostka – dwa dni szkoleniowe:</w:t>
            </w:r>
          </w:p>
          <w:p w:rsidR="00FC4F76" w:rsidRDefault="00FC4F76" w:rsidP="00FC4F76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Piętek: 17:00 – 20:00</w:t>
            </w:r>
          </w:p>
          <w:p w:rsidR="008F556E" w:rsidRDefault="00FC4F76" w:rsidP="00FC4F76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Sobota: 8:00 – 14:00</w:t>
            </w:r>
          </w:p>
          <w:p w:rsidR="00FC4F76" w:rsidRPr="00FE0CE0" w:rsidRDefault="00FC4F76" w:rsidP="00FC4F76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 xml:space="preserve">Rodzaj wsparcia </w:t>
            </w:r>
          </w:p>
        </w:tc>
        <w:tc>
          <w:tcPr>
            <w:tcW w:w="7230" w:type="dxa"/>
          </w:tcPr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Warsztaty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Metody realizacji</w:t>
            </w:r>
          </w:p>
        </w:tc>
        <w:tc>
          <w:tcPr>
            <w:tcW w:w="7230" w:type="dxa"/>
          </w:tcPr>
          <w:p w:rsidR="00FC4F76" w:rsidRPr="00FF34EA" w:rsidRDefault="00FC4F76" w:rsidP="00FC4F76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Forma stacjonarna</w:t>
            </w:r>
          </w:p>
          <w:p w:rsidR="00FC4F76" w:rsidRDefault="00FC4F76" w:rsidP="00FC4F76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Wykład teoretyczny</w:t>
            </w:r>
          </w:p>
          <w:p w:rsidR="00FC4F76" w:rsidRDefault="00FC4F76" w:rsidP="00FC4F76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Pokaz praktyczny realizowany przez instruktora</w:t>
            </w:r>
          </w:p>
          <w:p w:rsidR="008F556E" w:rsidRPr="004F3135" w:rsidRDefault="00FC4F76" w:rsidP="00FC4F76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Ćwiczenia praktyczne realizowany przez słuchaczy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Adresaci/uczestnicy  wsparcia</w:t>
            </w:r>
          </w:p>
        </w:tc>
        <w:tc>
          <w:tcPr>
            <w:tcW w:w="7230" w:type="dxa"/>
          </w:tcPr>
          <w:p w:rsidR="008F556E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Wsparcie dla osób zainteresowanych tą formą edukacji.</w:t>
            </w:r>
          </w:p>
          <w:p w:rsidR="008F556E" w:rsidRPr="00FE0CE0" w:rsidRDefault="008F556E" w:rsidP="006055D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W szczególności osoby nieaktywne</w:t>
            </w:r>
            <w:r w:rsidR="006055D2">
              <w:rPr>
                <w:rFonts w:asciiTheme="majorHAnsi" w:hAnsiTheme="majorHAnsi" w:cs="Arial"/>
                <w:sz w:val="20"/>
                <w:szCs w:val="18"/>
              </w:rPr>
              <w:t>/bierne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zawodowo/niepełnosprawne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4F4D92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Materiały  dla uczestników</w:t>
            </w:r>
          </w:p>
        </w:tc>
        <w:tc>
          <w:tcPr>
            <w:tcW w:w="7230" w:type="dxa"/>
          </w:tcPr>
          <w:p w:rsidR="008F556E" w:rsidRPr="00270F03" w:rsidRDefault="00FC4F76" w:rsidP="004F4D92">
            <w:pPr>
              <w:spacing w:before="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Metody ewaluacji</w:t>
            </w:r>
          </w:p>
        </w:tc>
        <w:tc>
          <w:tcPr>
            <w:tcW w:w="7230" w:type="dxa"/>
          </w:tcPr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="00270F03"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Ankieta ewaluacyjna   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Wywiad indywidualny 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Wywiad grupowy</w:t>
            </w:r>
          </w:p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□ Test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Obserwacja (np. trenera)  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Rekomendacje rozwojowe dla uczestników</w:t>
            </w:r>
          </w:p>
        </w:tc>
        <w:tc>
          <w:tcPr>
            <w:tcW w:w="7230" w:type="dxa"/>
          </w:tcPr>
          <w:p w:rsidR="008F556E" w:rsidRDefault="00FC4F76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I</w:t>
            </w:r>
            <w:r w:rsidR="008F556E">
              <w:rPr>
                <w:rFonts w:asciiTheme="majorHAnsi" w:hAnsiTheme="majorHAnsi" w:cs="Arial"/>
                <w:sz w:val="20"/>
                <w:szCs w:val="18"/>
              </w:rPr>
              <w:t>ndywidualne konsultacje z kadrą</w:t>
            </w:r>
          </w:p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Baza wiedzy dostępna w sieci Internet</w:t>
            </w:r>
          </w:p>
        </w:tc>
      </w:tr>
    </w:tbl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013D3A" w:rsidRDefault="00013D3A" w:rsidP="008F556E">
      <w:pPr>
        <w:spacing w:before="120" w:after="120"/>
        <w:rPr>
          <w:rFonts w:asciiTheme="majorHAnsi" w:hAnsiTheme="majorHAnsi" w:cs="Arial"/>
          <w:b/>
        </w:rPr>
      </w:pPr>
      <w:bookmarkStart w:id="0" w:name="_GoBack"/>
      <w:bookmarkEnd w:id="0"/>
    </w:p>
    <w:p w:rsidR="00013D3A" w:rsidRDefault="00013D3A" w:rsidP="008F556E">
      <w:pPr>
        <w:spacing w:before="120" w:after="120"/>
        <w:rPr>
          <w:rFonts w:asciiTheme="majorHAnsi" w:hAnsiTheme="majorHAnsi" w:cs="Arial"/>
          <w:b/>
        </w:rPr>
      </w:pPr>
    </w:p>
    <w:p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:rsidR="000B17D1" w:rsidRDefault="000B17D1" w:rsidP="008F556E">
      <w:pPr>
        <w:spacing w:before="120" w:after="120"/>
        <w:rPr>
          <w:rFonts w:asciiTheme="majorHAnsi" w:hAnsiTheme="majorHAnsi" w:cs="Arial"/>
          <w:b/>
        </w:rPr>
      </w:pPr>
    </w:p>
    <w:sectPr w:rsidR="000B17D1" w:rsidSect="000E2AE4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99" w:rsidRDefault="00403D99" w:rsidP="007B456B">
      <w:r>
        <w:separator/>
      </w:r>
    </w:p>
  </w:endnote>
  <w:endnote w:type="continuationSeparator" w:id="0">
    <w:p w:rsidR="00403D99" w:rsidRDefault="00403D99" w:rsidP="007B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31956"/>
      <w:docPartObj>
        <w:docPartGallery w:val="Page Numbers (Bottom of Page)"/>
        <w:docPartUnique/>
      </w:docPartObj>
    </w:sdtPr>
    <w:sdtEndPr/>
    <w:sdtContent>
      <w:p w:rsidR="00085BEB" w:rsidRPr="009E3591" w:rsidRDefault="00085BEB" w:rsidP="00044242">
        <w:pPr>
          <w:pBdr>
            <w:top w:val="single" w:sz="4" w:space="1" w:color="auto"/>
          </w:pBdr>
          <w:spacing w:before="120"/>
          <w:jc w:val="center"/>
          <w:rPr>
            <w:rFonts w:ascii="Arial" w:hAnsi="Arial" w:cs="Arial"/>
            <w:b/>
            <w:sz w:val="14"/>
          </w:rPr>
        </w:pPr>
        <w:r w:rsidRPr="009E3591">
          <w:rPr>
            <w:rFonts w:ascii="Arial" w:hAnsi="Arial" w:cs="Arial"/>
            <w:b/>
            <w:sz w:val="14"/>
          </w:rPr>
          <w:t>„Lokalne Ośrodki Wiedzy i Edukacji na rzecz aktywizacji edukacyjnej osób dorosłych 2” POWR.02.14.00-00-1007/19</w:t>
        </w:r>
      </w:p>
      <w:p w:rsidR="00085BEB" w:rsidRDefault="008113E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6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BEB" w:rsidRPr="005D6B74" w:rsidRDefault="00085BEB" w:rsidP="005D6B74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31957"/>
      <w:docPartObj>
        <w:docPartGallery w:val="Page Numbers (Bottom of Page)"/>
        <w:docPartUnique/>
      </w:docPartObj>
    </w:sdtPr>
    <w:sdtEndPr/>
    <w:sdtContent>
      <w:p w:rsidR="00085BEB" w:rsidRPr="009E3591" w:rsidRDefault="00085BEB" w:rsidP="00044242">
        <w:pPr>
          <w:pBdr>
            <w:top w:val="single" w:sz="4" w:space="1" w:color="auto"/>
          </w:pBdr>
          <w:spacing w:before="120"/>
          <w:jc w:val="center"/>
          <w:rPr>
            <w:rFonts w:ascii="Arial" w:hAnsi="Arial" w:cs="Arial"/>
            <w:b/>
            <w:sz w:val="14"/>
          </w:rPr>
        </w:pPr>
        <w:r w:rsidRPr="009E3591">
          <w:rPr>
            <w:rFonts w:ascii="Arial" w:hAnsi="Arial" w:cs="Arial"/>
            <w:b/>
            <w:sz w:val="14"/>
          </w:rPr>
          <w:t>„Lokalne Ośrodki Wiedzy i Edukacji na rzecz aktywizacji edukacyjnej osób dorosłych 2” POWR.02.14.00-00-1007/19</w:t>
        </w:r>
      </w:p>
      <w:p w:rsidR="00085BEB" w:rsidRDefault="008113E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6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BEB" w:rsidRDefault="00085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Pr="009E3591" w:rsidRDefault="00085BEB" w:rsidP="00044242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085BEB" w:rsidRDefault="008113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6B6C">
      <w:rPr>
        <w:noProof/>
      </w:rPr>
      <w:t>3</w:t>
    </w:r>
    <w:r>
      <w:rPr>
        <w:noProof/>
      </w:rPr>
      <w:fldChar w:fldCharType="end"/>
    </w:r>
  </w:p>
  <w:p w:rsidR="00085BEB" w:rsidRPr="005D6B74" w:rsidRDefault="00085BEB" w:rsidP="005D6B74">
    <w:pPr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Pr="009E3591" w:rsidRDefault="00085BEB" w:rsidP="00044242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085BEB" w:rsidRDefault="008113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85BEB">
      <w:rPr>
        <w:noProof/>
      </w:rPr>
      <w:t>1</w:t>
    </w:r>
    <w:r>
      <w:rPr>
        <w:noProof/>
      </w:rPr>
      <w:fldChar w:fldCharType="end"/>
    </w:r>
  </w:p>
  <w:p w:rsidR="00085BEB" w:rsidRDefault="00085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99" w:rsidRDefault="00403D99" w:rsidP="007B456B">
      <w:r>
        <w:separator/>
      </w:r>
    </w:p>
  </w:footnote>
  <w:footnote w:type="continuationSeparator" w:id="0">
    <w:p w:rsidR="00403D99" w:rsidRDefault="00403D99" w:rsidP="007B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Pr="00DB6EE7" w:rsidRDefault="00085BEB" w:rsidP="00EB1C7D">
    <w:pPr>
      <w:pStyle w:val="Nagwek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Default="00085BEB">
    <w:pPr>
      <w:pStyle w:val="Nagwek"/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5760720" cy="740410"/>
          <wp:effectExtent l="0" t="0" r="0" b="254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Pr="00DB6EE7" w:rsidRDefault="00085BEB" w:rsidP="00EB1C7D">
    <w:pPr>
      <w:pStyle w:val="Nagwek"/>
      <w:jc w:val="center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Default="00085BEB">
    <w:pPr>
      <w:pStyle w:val="Nagwek"/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C090C"/>
    <w:multiLevelType w:val="multilevel"/>
    <w:tmpl w:val="969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42B6B"/>
    <w:multiLevelType w:val="hybridMultilevel"/>
    <w:tmpl w:val="D020DDA8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F66"/>
    <w:multiLevelType w:val="hybridMultilevel"/>
    <w:tmpl w:val="E18E95F2"/>
    <w:lvl w:ilvl="0" w:tplc="61427AD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C41268D"/>
    <w:multiLevelType w:val="hybridMultilevel"/>
    <w:tmpl w:val="536A6AE4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8C7A00"/>
    <w:multiLevelType w:val="hybridMultilevel"/>
    <w:tmpl w:val="52C0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10F6B"/>
    <w:multiLevelType w:val="hybridMultilevel"/>
    <w:tmpl w:val="4EE29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601DA"/>
    <w:multiLevelType w:val="multilevel"/>
    <w:tmpl w:val="4F66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D64AE"/>
    <w:multiLevelType w:val="multilevel"/>
    <w:tmpl w:val="75C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B86988"/>
    <w:multiLevelType w:val="hybridMultilevel"/>
    <w:tmpl w:val="A7CCB8A4"/>
    <w:lvl w:ilvl="0" w:tplc="7C984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B69D0"/>
    <w:multiLevelType w:val="hybridMultilevel"/>
    <w:tmpl w:val="2BDCE9A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3A3D039D"/>
    <w:multiLevelType w:val="hybridMultilevel"/>
    <w:tmpl w:val="86D62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C1489"/>
    <w:multiLevelType w:val="hybridMultilevel"/>
    <w:tmpl w:val="EE0275E2"/>
    <w:lvl w:ilvl="0" w:tplc="3934EB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61F4FB3"/>
    <w:multiLevelType w:val="multilevel"/>
    <w:tmpl w:val="F6C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93D06"/>
    <w:multiLevelType w:val="multilevel"/>
    <w:tmpl w:val="9E44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26497"/>
    <w:multiLevelType w:val="multilevel"/>
    <w:tmpl w:val="1F58BF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52BBD"/>
    <w:multiLevelType w:val="multilevel"/>
    <w:tmpl w:val="6A6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66A4A"/>
    <w:multiLevelType w:val="hybridMultilevel"/>
    <w:tmpl w:val="76423B82"/>
    <w:lvl w:ilvl="0" w:tplc="61427AD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3A3D23"/>
    <w:multiLevelType w:val="hybridMultilevel"/>
    <w:tmpl w:val="56E65042"/>
    <w:lvl w:ilvl="0" w:tplc="61427AD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163234"/>
    <w:multiLevelType w:val="hybridMultilevel"/>
    <w:tmpl w:val="80E0834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67D2F"/>
    <w:multiLevelType w:val="hybridMultilevel"/>
    <w:tmpl w:val="A14C48F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B350E39"/>
    <w:multiLevelType w:val="hybridMultilevel"/>
    <w:tmpl w:val="A7CCB8A4"/>
    <w:lvl w:ilvl="0" w:tplc="7C984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575FF"/>
    <w:multiLevelType w:val="hybridMultilevel"/>
    <w:tmpl w:val="F984F60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8"/>
  </w:num>
  <w:num w:numId="5">
    <w:abstractNumId w:val="0"/>
  </w:num>
  <w:num w:numId="6">
    <w:abstractNumId w:val="32"/>
  </w:num>
  <w:num w:numId="7">
    <w:abstractNumId w:val="25"/>
  </w:num>
  <w:num w:numId="8">
    <w:abstractNumId w:val="1"/>
  </w:num>
  <w:num w:numId="9">
    <w:abstractNumId w:val="31"/>
  </w:num>
  <w:num w:numId="10">
    <w:abstractNumId w:val="29"/>
  </w:num>
  <w:num w:numId="11">
    <w:abstractNumId w:val="18"/>
  </w:num>
  <w:num w:numId="12">
    <w:abstractNumId w:val="13"/>
  </w:num>
  <w:num w:numId="13">
    <w:abstractNumId w:val="4"/>
  </w:num>
  <w:num w:numId="14">
    <w:abstractNumId w:val="24"/>
  </w:num>
  <w:num w:numId="15">
    <w:abstractNumId w:val="6"/>
  </w:num>
  <w:num w:numId="16">
    <w:abstractNumId w:val="26"/>
  </w:num>
  <w:num w:numId="17">
    <w:abstractNumId w:val="10"/>
  </w:num>
  <w:num w:numId="18">
    <w:abstractNumId w:val="9"/>
  </w:num>
  <w:num w:numId="19">
    <w:abstractNumId w:val="16"/>
  </w:num>
  <w:num w:numId="20">
    <w:abstractNumId w:val="17"/>
  </w:num>
  <w:num w:numId="21">
    <w:abstractNumId w:val="34"/>
  </w:num>
  <w:num w:numId="22">
    <w:abstractNumId w:val="30"/>
  </w:num>
  <w:num w:numId="23">
    <w:abstractNumId w:val="15"/>
  </w:num>
  <w:num w:numId="24">
    <w:abstractNumId w:val="33"/>
  </w:num>
  <w:num w:numId="25">
    <w:abstractNumId w:val="21"/>
  </w:num>
  <w:num w:numId="26">
    <w:abstractNumId w:val="11"/>
  </w:num>
  <w:num w:numId="27">
    <w:abstractNumId w:val="23"/>
  </w:num>
  <w:num w:numId="28">
    <w:abstractNumId w:val="22"/>
  </w:num>
  <w:num w:numId="29">
    <w:abstractNumId w:val="28"/>
  </w:num>
  <w:num w:numId="30">
    <w:abstractNumId w:val="2"/>
  </w:num>
  <w:num w:numId="31">
    <w:abstractNumId w:val="3"/>
  </w:num>
  <w:num w:numId="32">
    <w:abstractNumId w:val="7"/>
  </w:num>
  <w:num w:numId="33">
    <w:abstractNumId w:val="20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6B"/>
    <w:rsid w:val="00004891"/>
    <w:rsid w:val="00006293"/>
    <w:rsid w:val="00012523"/>
    <w:rsid w:val="00013D3A"/>
    <w:rsid w:val="000213C4"/>
    <w:rsid w:val="000245F7"/>
    <w:rsid w:val="00027B96"/>
    <w:rsid w:val="00044242"/>
    <w:rsid w:val="00054C9A"/>
    <w:rsid w:val="0006299B"/>
    <w:rsid w:val="00085BEB"/>
    <w:rsid w:val="00092012"/>
    <w:rsid w:val="0009685A"/>
    <w:rsid w:val="000B17D1"/>
    <w:rsid w:val="000B39AB"/>
    <w:rsid w:val="000D1DE6"/>
    <w:rsid w:val="000D66EC"/>
    <w:rsid w:val="000E1904"/>
    <w:rsid w:val="000E2AE4"/>
    <w:rsid w:val="000E477F"/>
    <w:rsid w:val="00105F54"/>
    <w:rsid w:val="00117D80"/>
    <w:rsid w:val="00117E82"/>
    <w:rsid w:val="0012629F"/>
    <w:rsid w:val="00127B8F"/>
    <w:rsid w:val="00145ED9"/>
    <w:rsid w:val="00154B95"/>
    <w:rsid w:val="001631BF"/>
    <w:rsid w:val="00173787"/>
    <w:rsid w:val="001A2C65"/>
    <w:rsid w:val="001C34EC"/>
    <w:rsid w:val="001E27C2"/>
    <w:rsid w:val="001E7217"/>
    <w:rsid w:val="001F45FE"/>
    <w:rsid w:val="00230C2C"/>
    <w:rsid w:val="00235B6C"/>
    <w:rsid w:val="0024134B"/>
    <w:rsid w:val="002424F1"/>
    <w:rsid w:val="00250A6F"/>
    <w:rsid w:val="00253917"/>
    <w:rsid w:val="00255AB6"/>
    <w:rsid w:val="00256A16"/>
    <w:rsid w:val="00270F03"/>
    <w:rsid w:val="00273858"/>
    <w:rsid w:val="002941D1"/>
    <w:rsid w:val="002A6F55"/>
    <w:rsid w:val="002B60F4"/>
    <w:rsid w:val="002B7DB3"/>
    <w:rsid w:val="002F18D5"/>
    <w:rsid w:val="00320675"/>
    <w:rsid w:val="00323FE4"/>
    <w:rsid w:val="00341242"/>
    <w:rsid w:val="00344B5D"/>
    <w:rsid w:val="00347709"/>
    <w:rsid w:val="00375994"/>
    <w:rsid w:val="00394C57"/>
    <w:rsid w:val="003D6A52"/>
    <w:rsid w:val="003F5D1F"/>
    <w:rsid w:val="00403D99"/>
    <w:rsid w:val="00406615"/>
    <w:rsid w:val="004251C8"/>
    <w:rsid w:val="0043328B"/>
    <w:rsid w:val="004621DA"/>
    <w:rsid w:val="004A4C41"/>
    <w:rsid w:val="004C7598"/>
    <w:rsid w:val="004D0360"/>
    <w:rsid w:val="004E19E1"/>
    <w:rsid w:val="004F4D92"/>
    <w:rsid w:val="0050630C"/>
    <w:rsid w:val="005131AA"/>
    <w:rsid w:val="0052671C"/>
    <w:rsid w:val="00575EC9"/>
    <w:rsid w:val="00584DCD"/>
    <w:rsid w:val="00586BE5"/>
    <w:rsid w:val="005A6CD4"/>
    <w:rsid w:val="005D6B74"/>
    <w:rsid w:val="005D7230"/>
    <w:rsid w:val="005E4FD5"/>
    <w:rsid w:val="005F2CEE"/>
    <w:rsid w:val="006055D2"/>
    <w:rsid w:val="006239A5"/>
    <w:rsid w:val="0062651D"/>
    <w:rsid w:val="00643106"/>
    <w:rsid w:val="00657BD7"/>
    <w:rsid w:val="006821D3"/>
    <w:rsid w:val="0068552B"/>
    <w:rsid w:val="00694A18"/>
    <w:rsid w:val="00697AFC"/>
    <w:rsid w:val="006A0F94"/>
    <w:rsid w:val="006A40EC"/>
    <w:rsid w:val="006B0246"/>
    <w:rsid w:val="006B7CCC"/>
    <w:rsid w:val="006D210C"/>
    <w:rsid w:val="006E2357"/>
    <w:rsid w:val="006F54C5"/>
    <w:rsid w:val="00731B3B"/>
    <w:rsid w:val="00740D9B"/>
    <w:rsid w:val="00741F95"/>
    <w:rsid w:val="007727E4"/>
    <w:rsid w:val="007B0AC4"/>
    <w:rsid w:val="007B456B"/>
    <w:rsid w:val="007B6791"/>
    <w:rsid w:val="007D2DEA"/>
    <w:rsid w:val="007D6E3C"/>
    <w:rsid w:val="007F2E85"/>
    <w:rsid w:val="00807C27"/>
    <w:rsid w:val="008113EE"/>
    <w:rsid w:val="008260DA"/>
    <w:rsid w:val="00835EB3"/>
    <w:rsid w:val="0084039B"/>
    <w:rsid w:val="00842B92"/>
    <w:rsid w:val="008525EF"/>
    <w:rsid w:val="00855157"/>
    <w:rsid w:val="00860925"/>
    <w:rsid w:val="00861C17"/>
    <w:rsid w:val="00875EA8"/>
    <w:rsid w:val="00884B09"/>
    <w:rsid w:val="008878DC"/>
    <w:rsid w:val="008A216E"/>
    <w:rsid w:val="008A2D32"/>
    <w:rsid w:val="008A57E2"/>
    <w:rsid w:val="008C551D"/>
    <w:rsid w:val="008D28DD"/>
    <w:rsid w:val="008E08F3"/>
    <w:rsid w:val="008F556E"/>
    <w:rsid w:val="009066DD"/>
    <w:rsid w:val="00925755"/>
    <w:rsid w:val="00934AE0"/>
    <w:rsid w:val="0095462D"/>
    <w:rsid w:val="009610AE"/>
    <w:rsid w:val="00983307"/>
    <w:rsid w:val="009F6024"/>
    <w:rsid w:val="00A02587"/>
    <w:rsid w:val="00A15182"/>
    <w:rsid w:val="00A210E2"/>
    <w:rsid w:val="00A42793"/>
    <w:rsid w:val="00A4308E"/>
    <w:rsid w:val="00A51EDA"/>
    <w:rsid w:val="00A56B6C"/>
    <w:rsid w:val="00AE7931"/>
    <w:rsid w:val="00AF3EB1"/>
    <w:rsid w:val="00AF68E0"/>
    <w:rsid w:val="00B018BD"/>
    <w:rsid w:val="00B22AD7"/>
    <w:rsid w:val="00B3750A"/>
    <w:rsid w:val="00B71349"/>
    <w:rsid w:val="00B713AD"/>
    <w:rsid w:val="00B947D6"/>
    <w:rsid w:val="00BB3AD6"/>
    <w:rsid w:val="00BF4026"/>
    <w:rsid w:val="00C14046"/>
    <w:rsid w:val="00C15D75"/>
    <w:rsid w:val="00C66420"/>
    <w:rsid w:val="00C74C27"/>
    <w:rsid w:val="00C76AC1"/>
    <w:rsid w:val="00C80C39"/>
    <w:rsid w:val="00C821BF"/>
    <w:rsid w:val="00C862F9"/>
    <w:rsid w:val="00CA289F"/>
    <w:rsid w:val="00CA7265"/>
    <w:rsid w:val="00CB51A7"/>
    <w:rsid w:val="00CB6918"/>
    <w:rsid w:val="00CC3633"/>
    <w:rsid w:val="00CC7BAB"/>
    <w:rsid w:val="00D622B8"/>
    <w:rsid w:val="00D67899"/>
    <w:rsid w:val="00D85975"/>
    <w:rsid w:val="00DB6EE7"/>
    <w:rsid w:val="00DD0DF2"/>
    <w:rsid w:val="00DF57E8"/>
    <w:rsid w:val="00E211BA"/>
    <w:rsid w:val="00E277F0"/>
    <w:rsid w:val="00E44944"/>
    <w:rsid w:val="00E518A7"/>
    <w:rsid w:val="00E5743F"/>
    <w:rsid w:val="00E60029"/>
    <w:rsid w:val="00E62C9D"/>
    <w:rsid w:val="00E63500"/>
    <w:rsid w:val="00EB1C7D"/>
    <w:rsid w:val="00EC01D2"/>
    <w:rsid w:val="00EC1EEB"/>
    <w:rsid w:val="00EC2FB9"/>
    <w:rsid w:val="00ED2FA2"/>
    <w:rsid w:val="00EE7331"/>
    <w:rsid w:val="00EF2C4A"/>
    <w:rsid w:val="00F06C57"/>
    <w:rsid w:val="00F22E2A"/>
    <w:rsid w:val="00F34BD2"/>
    <w:rsid w:val="00F57ACA"/>
    <w:rsid w:val="00F71DA8"/>
    <w:rsid w:val="00F86E90"/>
    <w:rsid w:val="00FC4F76"/>
    <w:rsid w:val="00FD4664"/>
    <w:rsid w:val="00FD68F6"/>
    <w:rsid w:val="00FD6FFC"/>
    <w:rsid w:val="00FE6D83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106"/>
    <w:pPr>
      <w:keepNext/>
      <w:spacing w:before="80"/>
      <w:outlineLvl w:val="0"/>
    </w:pPr>
    <w:rPr>
      <w:rFonts w:ascii="Trebuchet MS" w:hAnsi="Trebuchet MS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43106"/>
    <w:rPr>
      <w:rFonts w:ascii="Trebuchet MS" w:eastAsia="Times New Roman" w:hAnsi="Trebuchet MS" w:cs="Times New Roman"/>
      <w:b/>
      <w:szCs w:val="24"/>
      <w:lang w:eastAsia="pl-PL"/>
    </w:rPr>
  </w:style>
  <w:style w:type="paragraph" w:customStyle="1" w:styleId="tytu">
    <w:name w:val="tytuł"/>
    <w:basedOn w:val="Normalny"/>
    <w:rsid w:val="00643106"/>
    <w:pPr>
      <w:jc w:val="center"/>
    </w:pPr>
    <w:rPr>
      <w:bCs/>
      <w:sz w:val="32"/>
    </w:rPr>
  </w:style>
  <w:style w:type="paragraph" w:styleId="Tekstpodstawowywcity">
    <w:name w:val="Body Text Indent"/>
    <w:basedOn w:val="Normalny"/>
    <w:link w:val="TekstpodstawowywcityZnak"/>
    <w:semiHidden/>
    <w:rsid w:val="00643106"/>
    <w:pPr>
      <w:spacing w:before="80"/>
      <w:ind w:left="57"/>
    </w:pPr>
    <w:rPr>
      <w:rFonts w:ascii="Trebuchet MS" w:hAnsi="Trebuchet MS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106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A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2A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2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4BD2"/>
    <w:pPr>
      <w:spacing w:before="100" w:beforeAutospacing="1" w:after="119"/>
    </w:pPr>
  </w:style>
  <w:style w:type="character" w:customStyle="1" w:styleId="lrzxr">
    <w:name w:val="lrzxr"/>
    <w:basedOn w:val="Domylnaczcionkaakapitu"/>
    <w:rsid w:val="0009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106"/>
    <w:pPr>
      <w:keepNext/>
      <w:spacing w:before="80"/>
      <w:outlineLvl w:val="0"/>
    </w:pPr>
    <w:rPr>
      <w:rFonts w:ascii="Trebuchet MS" w:hAnsi="Trebuchet MS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43106"/>
    <w:rPr>
      <w:rFonts w:ascii="Trebuchet MS" w:eastAsia="Times New Roman" w:hAnsi="Trebuchet MS" w:cs="Times New Roman"/>
      <w:b/>
      <w:szCs w:val="24"/>
      <w:lang w:eastAsia="pl-PL"/>
    </w:rPr>
  </w:style>
  <w:style w:type="paragraph" w:customStyle="1" w:styleId="tytu">
    <w:name w:val="tytuł"/>
    <w:basedOn w:val="Normalny"/>
    <w:rsid w:val="00643106"/>
    <w:pPr>
      <w:jc w:val="center"/>
    </w:pPr>
    <w:rPr>
      <w:bCs/>
      <w:sz w:val="32"/>
    </w:rPr>
  </w:style>
  <w:style w:type="paragraph" w:styleId="Tekstpodstawowywcity">
    <w:name w:val="Body Text Indent"/>
    <w:basedOn w:val="Normalny"/>
    <w:link w:val="TekstpodstawowywcityZnak"/>
    <w:semiHidden/>
    <w:rsid w:val="00643106"/>
    <w:pPr>
      <w:spacing w:before="80"/>
      <w:ind w:left="57"/>
    </w:pPr>
    <w:rPr>
      <w:rFonts w:ascii="Trebuchet MS" w:hAnsi="Trebuchet MS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106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A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2A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2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4BD2"/>
    <w:pPr>
      <w:spacing w:before="100" w:beforeAutospacing="1" w:after="119"/>
    </w:pPr>
  </w:style>
  <w:style w:type="character" w:customStyle="1" w:styleId="lrzxr">
    <w:name w:val="lrzxr"/>
    <w:basedOn w:val="Domylnaczcionkaakapitu"/>
    <w:rsid w:val="0009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9FEC-2822-43C8-ACC2-3C6C3863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Księgowa</cp:lastModifiedBy>
  <cp:revision>2</cp:revision>
  <cp:lastPrinted>2020-10-26T10:14:00Z</cp:lastPrinted>
  <dcterms:created xsi:type="dcterms:W3CDTF">2021-01-18T12:05:00Z</dcterms:created>
  <dcterms:modified xsi:type="dcterms:W3CDTF">2021-01-18T12:05:00Z</dcterms:modified>
</cp:coreProperties>
</file>