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Oferta edukacyjna  </w:t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Lokalnego Ośrodka Wiedzy </w:t>
        <w:br/>
        <w:t xml:space="preserve">i Edukacji </w:t>
        <w:br/>
        <w:t xml:space="preserve">w Gminie Wieprz </w:t>
      </w:r>
    </w:p>
    <w:p>
      <w:pPr>
        <w:pStyle w:val="Normal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28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 xml:space="preserve">przy Zespole Szkolno – Przedszkolnym im. Mikołaja Kopernika </w:t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w Nidku</w:t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ul. św. Judy Tadeusza 2, 34-122 Wieprz</w:t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Normal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Marzec 2021</w:t>
      </w:r>
    </w:p>
    <w:p>
      <w:pPr>
        <w:pStyle w:val="Normal"/>
        <w:spacing w:lineRule="auto" w:line="276" w:before="0" w:after="20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  <w:r>
        <w:br w:type="page"/>
      </w:r>
    </w:p>
    <w:p>
      <w:pPr>
        <w:pStyle w:val="Normal"/>
        <w:spacing w:before="0" w:after="120"/>
        <w:jc w:val="center"/>
        <w:rPr>
          <w:rFonts w:ascii="Arial" w:hAnsi="Arial" w:cs="Arial"/>
        </w:rPr>
      </w:pPr>
      <w:r>
        <w:rPr>
          <w:rFonts w:cs="Arial" w:ascii="Arial" w:hAnsi="Arial"/>
          <w:sz w:val="28"/>
          <w:szCs w:val="20"/>
        </w:rPr>
        <w:tab/>
      </w:r>
    </w:p>
    <w:p>
      <w:pPr>
        <w:pStyle w:val="Normal"/>
        <w:spacing w:before="0" w:after="120"/>
        <w:jc w:val="center"/>
        <w:rPr>
          <w:rFonts w:ascii="Cambria" w:hAnsi="Cambria" w:cs="Arial" w:asciiTheme="majorHAnsi" w:hAnsiTheme="majorHAnsi"/>
          <w:b/>
          <w:b/>
          <w:sz w:val="20"/>
        </w:rPr>
      </w:pPr>
      <w:r>
        <w:rPr>
          <w:rFonts w:cs="Arial" w:ascii="Cambria" w:hAnsi="Cambria" w:asciiTheme="majorHAnsi" w:hAnsiTheme="majorHAnsi"/>
          <w:b/>
        </w:rPr>
        <w:t>PODSTAWOWE INFORMACJE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418" w:header="624" w:top="1134" w:footer="709" w:bottom="1418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tbl>
      <w:tblPr>
        <w:tblW w:w="94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7"/>
        <w:gridCol w:w="7228"/>
      </w:tblGrid>
      <w:tr>
        <w:trPr>
          <w:trHeight w:val="568" w:hRule="atLeast"/>
        </w:trPr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</w:rPr>
              <w:t>Tytuł działania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b/>
                <w:b/>
                <w:color w:val="3333FF"/>
                <w:sz w:val="28"/>
                <w:szCs w:val="28"/>
              </w:rPr>
            </w:pPr>
            <w:r>
              <w:rPr>
                <w:rFonts w:cs="Arial" w:ascii="Cambria" w:hAnsi="Cambria" w:asciiTheme="majorHAnsi" w:hAnsiTheme="majorHAnsi"/>
                <w:b/>
                <w:color w:val="3333FF"/>
                <w:sz w:val="28"/>
                <w:szCs w:val="28"/>
              </w:rPr>
              <w:t>Piłeczką w stres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color w:val="3333FF"/>
              </w:rPr>
            </w:pPr>
            <w:r>
              <w:rPr>
                <w:rFonts w:cs="Arial" w:ascii="Cambria" w:hAnsi="Cambria"/>
                <w:color w:val="3333FF"/>
              </w:rPr>
            </w:r>
          </w:p>
        </w:tc>
      </w:tr>
      <w:tr>
        <w:trPr>
          <w:trHeight w:val="540" w:hRule="atLeast"/>
        </w:trPr>
        <w:tc>
          <w:tcPr>
            <w:tcW w:w="21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20"/>
              </w:rPr>
              <w:t>Miejsce realizacji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sz w:val="20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1. Zespół Szkolno – Przedszkolny im. Mikołaja Kopernika w Nidku</w:t>
            </w:r>
          </w:p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</w:rPr>
            </w:pPr>
            <w:r>
              <w:rPr>
                <w:rFonts w:cs="Arial" w:ascii="Cambria" w:hAnsi="Cambria" w:asciiTheme="majorHAnsi" w:hAnsiTheme="majorHAnsi"/>
                <w:sz w:val="20"/>
              </w:rPr>
              <w:t>ul. św. Judy Tadeusza 2, 34-122 Wieprz</w:t>
            </w:r>
          </w:p>
        </w:tc>
      </w:tr>
    </w:tbl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Tytu"/>
        <w:spacing w:before="120" w:after="120"/>
        <w:rPr>
          <w:rFonts w:ascii="Cambria" w:hAnsi="Cambria" w:cs="Arial" w:asciiTheme="majorHAnsi" w:hAnsiTheme="majorHAnsi"/>
          <w:b/>
          <w:b/>
          <w:bCs w:val="false"/>
          <w:sz w:val="24"/>
          <w:szCs w:val="32"/>
        </w:rPr>
      </w:pPr>
      <w:r>
        <w:rPr>
          <w:rFonts w:cs="Arial" w:ascii="Cambria" w:hAnsi="Cambria" w:asciiTheme="majorHAnsi" w:hAnsiTheme="majorHAnsi"/>
          <w:b/>
          <w:bCs w:val="false"/>
          <w:sz w:val="24"/>
          <w:szCs w:val="32"/>
        </w:rPr>
        <w:t>ZAŁOŻENIA PROGRAMOWE I REALIZACYJNE</w:t>
      </w:r>
    </w:p>
    <w:tbl>
      <w:tblPr>
        <w:tblW w:w="942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96"/>
        <w:gridCol w:w="7229"/>
      </w:tblGrid>
      <w:tr>
        <w:trPr>
          <w:trHeight w:val="1665" w:hRule="atLeast"/>
        </w:trPr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Cele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b/>
                <w:b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Cs w:val="18"/>
              </w:rPr>
              <w:t>Cel główny: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>Zdobywanie i rozwijanie kompetencji kluczowych (osobistych, społecznych i obywatelskich)</w:t>
            </w:r>
          </w:p>
          <w:p>
            <w:pPr>
              <w:pStyle w:val="Wcicietrecitekstu"/>
              <w:widowControl w:val="false"/>
              <w:spacing w:before="0" w:after="0"/>
              <w:ind w:left="432" w:hanging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b/>
                <w:b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Cs w:val="18"/>
              </w:rPr>
              <w:t>Cele szczegółowe: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>Nauka radzenia sobie ze stresem, porażkami oraz zwycięstwami.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>Współdziałanie jako efektywna forma działań zapobiegających uzależnieniom od: alkoholu, nikotyny, Internetu.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>Promowanie zdrowego stylu życia.</w:t>
            </w:r>
          </w:p>
          <w:p>
            <w:pPr>
              <w:pStyle w:val="Wcicietrecitekstu"/>
              <w:widowControl w:val="false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 w:asciiTheme="majorHAnsi" w:hAnsiTheme="majorHAnsi"/>
                <w:szCs w:val="18"/>
              </w:rPr>
              <w:t xml:space="preserve">• </w:t>
            </w:r>
            <w:r>
              <w:rPr>
                <w:rFonts w:cs="Arial" w:ascii="Cambria" w:hAnsi="Cambria" w:asciiTheme="majorHAnsi" w:hAnsiTheme="majorHAnsi"/>
                <w:szCs w:val="18"/>
              </w:rPr>
              <w:t>Wzmacnianie pewności siebie.</w:t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  <w:p>
            <w:pPr>
              <w:pStyle w:val="Wcicietrecitekstu"/>
              <w:widowControl w:val="false"/>
              <w:spacing w:before="0" w:after="0"/>
              <w:ind w:left="0" w:hanging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  <w:p>
            <w:pPr>
              <w:pStyle w:val="Wcicietrecitekstu"/>
              <w:widowControl w:val="false"/>
              <w:spacing w:before="0" w:after="0"/>
              <w:rPr>
                <w:rFonts w:ascii="Cambria" w:hAnsi="Cambria" w:cs="Arial" w:asciiTheme="majorHAnsi" w:hAnsiTheme="majorHAnsi"/>
                <w:szCs w:val="18"/>
              </w:rPr>
            </w:pPr>
            <w:r>
              <w:rPr>
                <w:rFonts w:cs="Arial" w:ascii="Cambria" w:hAnsi="Cambria"/>
                <w:szCs w:val="18"/>
              </w:rPr>
            </w:r>
          </w:p>
        </w:tc>
      </w:tr>
      <w:tr>
        <w:trPr>
          <w:trHeight w:val="836" w:hRule="atLeast"/>
        </w:trPr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jc w:val="center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Spodziewane efekty  uczenia się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 w:eastAsiaTheme="minorHAnsi"/>
                <w:color w:val="000000"/>
                <w:lang w:eastAsia="en-US"/>
              </w:rPr>
            </w:pPr>
            <w:r>
              <w:rPr>
                <w:rFonts w:eastAsia="Calibri" w:cs="Calibri" w:eastAsiaTheme="minorHAnsi" w:ascii="Calibri" w:hAnsi="Calibri"/>
                <w:color w:val="000000"/>
                <w:lang w:eastAsia="en-US"/>
              </w:rPr>
            </w:r>
          </w:p>
          <w:tbl>
            <w:tblPr>
              <w:tblW w:w="709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090"/>
            </w:tblGrid>
            <w:tr>
              <w:trPr>
                <w:trHeight w:val="3270" w:hRule="atLeast"/>
              </w:trPr>
              <w:tc>
                <w:tcPr>
                  <w:tcW w:w="7090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Uczestnik w zakresie wiedzy: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Zna zasady gry w tenisa stołowego.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Zna zasady gry fair play.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Zna różne strategie gry.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Uczestnik w zakresie umiejętności: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Umiejętnie dobiera dla siebie najkorzystniejszy poziom intensywności treningowej.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Opanowanie podstawowych elementów gry: zagranie, odbiór, podanie.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3"/>
                    </w:num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</w:rPr>
                    <w:t>Potrafi szybko podejmować decyzję.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Uczestnik w zakresie postaw: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1. Rozumie ideę zdrowego stylu życia.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2. Potrafi radzić sobie z emocjami.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3. Jest osobą punktualną.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ascii="Calibri" w:hAnsi="Calibri" w:eastAsiaTheme="minorHAnsi"/>
                      <w:color w:val="000000"/>
                      <w:sz w:val="20"/>
                      <w:szCs w:val="20"/>
                      <w:lang w:eastAsia="en-US"/>
                    </w:rPr>
                    <w:t>4. Jest otwarty na kontakty z innymi osobami.</w:t>
                  </w:r>
                </w:p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color w:val="000000"/>
                      <w:sz w:val="20"/>
                      <w:szCs w:val="20"/>
                      <w:lang w:eastAsia="en-US"/>
                    </w:rPr>
                  </w:r>
                </w:p>
              </w:tc>
            </w:tr>
            <w:tr>
              <w:trPr>
                <w:trHeight w:val="552" w:hRule="atLeast"/>
              </w:trPr>
              <w:tc>
                <w:tcPr>
                  <w:tcW w:w="7090" w:type="dxa"/>
                  <w:tcBorders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 w:eastAsiaTheme="minorHAnsi"/>
                      <w:b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rFonts w:eastAsia="Calibri" w:cs="Calibri" w:eastAsiaTheme="minorHAnsi" w:ascii="Calibri" w:hAnsi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spacing w:before="80" w:after="0"/>
              <w:ind w:left="0" w:hanging="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Ramowy program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1. Pogadanka nt. zasad gry.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2. Omówienie przełożenia decyzji podejmowanych w trakcie gry do decyzji podejmowanych w życiu.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3. Omówienie walorów związanych z uprawianiem sportu.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3. Rozgrzewka.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4. Ćwiczenie wybranych zagrań.</w:t>
            </w:r>
          </w:p>
          <w:p>
            <w:pPr>
              <w:pStyle w:val="Default"/>
              <w:widowControl w:val="false"/>
              <w:rPr>
                <w:rFonts w:ascii="Cambria" w:hAnsi="Cambria" w:asciiTheme="majorHAnsi" w:hAnsiTheme="majorHAnsi"/>
                <w:bCs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bCs/>
                <w:sz w:val="20"/>
                <w:szCs w:val="20"/>
              </w:rPr>
              <w:t>5. Doskonalenie techniki.</w:t>
            </w:r>
          </w:p>
          <w:p>
            <w:pPr>
              <w:pStyle w:val="Default"/>
              <w:widowControl w:val="false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Czas trwania i sposób organizacji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16 godzin (8 spotkań x 2 godziny)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1 x w tygodniu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Rodzaj wsparcia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Warsztaty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Metody realizacji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Zajęcia sala gimnastyczna / plener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80" w:after="20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Warsztat praktyczny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80" w:after="20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Ćwiczenia praktyczne, praca indywidualna i praca w grupie</w:t>
            </w:r>
          </w:p>
          <w:p>
            <w:pPr>
              <w:pStyle w:val="ListParagraph"/>
              <w:widowControl w:val="false"/>
              <w:spacing w:before="80" w:after="200"/>
              <w:ind w:left="777" w:hanging="0"/>
              <w:contextualSpacing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/>
                <w:sz w:val="20"/>
                <w:szCs w:val="18"/>
              </w:rPr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Adresaci/uczestnicy  wsparcia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Wsparcie dla osób zainteresowanych tą formą edukacji.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W szczególności osoby nieaktywne/bierne zawodowo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Materiały  dla uczestników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sz w:val="20"/>
                <w:szCs w:val="20"/>
              </w:rPr>
            </w:pPr>
            <w:r>
              <w:rPr>
                <w:rFonts w:cs="Calibri" w:ascii="Cambria" w:hAnsi="Cambria" w:asciiTheme="majorHAnsi" w:hAnsiTheme="majorHAnsi"/>
                <w:sz w:val="20"/>
                <w:szCs w:val="20"/>
              </w:rPr>
              <w:t>Piłeczki do tenisa stołowego.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Metody ewaluacji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⊠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Ankieta ewaluacyjna</w:t>
            </w:r>
          </w:p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 xml:space="preserve">⊠ </w:t>
            </w: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Obserwacja (np. trenera)</w:t>
            </w:r>
          </w:p>
        </w:tc>
      </w:tr>
      <w:tr>
        <w:trPr/>
        <w:tc>
          <w:tcPr>
            <w:tcW w:w="2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spacing w:before="80" w:after="0"/>
              <w:rPr>
                <w:rFonts w:ascii="Cambria" w:hAnsi="Cambria" w:cs="Arial" w:asciiTheme="majorHAnsi" w:hAnsiTheme="majorHAnsi"/>
                <w:b/>
                <w:b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sz w:val="20"/>
                <w:szCs w:val="18"/>
              </w:rPr>
              <w:t>Rekomendacje rozwojowe dla uczestników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 w:asciiTheme="majorHAnsi" w:hAnsiTheme="majorHAnsi"/>
                <w:sz w:val="20"/>
                <w:szCs w:val="18"/>
              </w:rPr>
            </w:pPr>
            <w:r>
              <w:rPr>
                <w:rFonts w:cs="Arial" w:ascii="Cambria" w:hAnsi="Cambria" w:asciiTheme="majorHAnsi" w:hAnsiTheme="majorHAnsi"/>
                <w:sz w:val="20"/>
                <w:szCs w:val="18"/>
              </w:rPr>
              <w:t>Baza wiedzy dostępna w sieci Internet. Kontynuacja treningów.</w:t>
            </w:r>
            <w:bookmarkStart w:id="0" w:name="_GoBack"/>
            <w:bookmarkEnd w:id="0"/>
          </w:p>
        </w:tc>
      </w:tr>
    </w:tbl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>
          <w:rFonts w:cs="Arial" w:ascii="Cambria" w:hAnsi="Cambria"/>
          <w:b/>
        </w:rPr>
      </w:r>
    </w:p>
    <w:p>
      <w:pPr>
        <w:pStyle w:val="Normal"/>
        <w:spacing w:before="120" w:after="120"/>
        <w:rPr>
          <w:rFonts w:ascii="Cambria" w:hAnsi="Cambria" w:cs="Arial" w:asciiTheme="majorHAnsi" w:hAnsiTheme="majorHAnsi"/>
          <w:b/>
          <w:b/>
        </w:rPr>
      </w:pPr>
      <w:r>
        <w:rPr/>
      </w:r>
    </w:p>
    <w:sectPr>
      <w:type w:val="continuous"/>
      <w:pgSz w:w="11906" w:h="16838"/>
      <w:pgMar w:left="1134" w:right="1418" w:header="624" w:top="1134" w:footer="709" w:bottom="1418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7086431"/>
    </w:sdtPr>
    <w:sdtContent>
      <w:p>
        <w:pPr>
          <w:pStyle w:val="Normal"/>
          <w:pBdr>
            <w:top w:val="single" w:sz="4" w:space="1" w:color="000000"/>
          </w:pBdr>
          <w:spacing w:before="120" w:after="0"/>
          <w:jc w:val="center"/>
          <w:rPr>
            <w:rFonts w:ascii="Arial" w:hAnsi="Arial" w:cs="Arial"/>
            <w:b/>
            <w:b/>
            <w:sz w:val="14"/>
          </w:rPr>
        </w:pPr>
        <w:r>
          <w:rPr>
            <w:rFonts w:cs="Arial" w:ascii="Arial" w:hAnsi="Arial"/>
            <w:b/>
            <w:sz w:val="14"/>
          </w:rPr>
          <w:t>„</w:t>
        </w:r>
        <w:r>
          <w:rPr>
            <w:rFonts w:cs="Arial" w:ascii="Arial" w:hAnsi="Arial"/>
            <w:b/>
            <w:sz w:val="14"/>
          </w:rPr>
          <w:t>Lokalne Ośrodki Wiedzy i Edukacji na rzecz aktywizacji edukacyjnej osób dorosłych 2” POWR.02.14.00-00-1007/19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Normal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32873046"/>
    </w:sdtPr>
    <w:sdtContent>
      <w:p>
        <w:pPr>
          <w:pStyle w:val="Normal"/>
          <w:pBdr>
            <w:top w:val="single" w:sz="4" w:space="1" w:color="000000"/>
          </w:pBdr>
          <w:spacing w:before="120" w:after="0"/>
          <w:jc w:val="center"/>
          <w:rPr>
            <w:rFonts w:ascii="Arial" w:hAnsi="Arial" w:cs="Arial"/>
            <w:b/>
            <w:b/>
            <w:sz w:val="14"/>
          </w:rPr>
        </w:pPr>
        <w:r>
          <w:rPr>
            <w:rFonts w:cs="Arial" w:ascii="Arial" w:hAnsi="Arial"/>
            <w:b/>
            <w:sz w:val="14"/>
          </w:rPr>
          <w:t>„</w:t>
        </w:r>
        <w:r>
          <w:rPr>
            <w:rFonts w:cs="Arial" w:ascii="Arial" w:hAnsi="Arial"/>
            <w:b/>
            <w:sz w:val="14"/>
          </w:rPr>
          <w:t>Lokalne Ośrodki Wiedzy i Edukacji na rzecz aktywizacji edukacyjnej osób dorosłych 2” POWR.02.14.00-00-1007/19</w:t>
        </w:r>
      </w:p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74041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1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643106"/>
    <w:pPr>
      <w:keepNext w:val="true"/>
      <w:spacing w:before="80" w:after="0"/>
      <w:outlineLvl w:val="0"/>
    </w:pPr>
    <w:rPr>
      <w:rFonts w:ascii="Trebuchet MS" w:hAnsi="Trebuchet MS"/>
      <w:b/>
      <w:sz w:val="2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763c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b456b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b456b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b1c7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b1c7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1c7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25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1252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12523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0e477f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643106"/>
    <w:rPr>
      <w:rFonts w:ascii="Trebuchet MS" w:hAnsi="Trebuchet MS" w:eastAsia="Times New Roman" w:cs="Times New Roman"/>
      <w:b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43106"/>
    <w:rPr>
      <w:rFonts w:ascii="Trebuchet MS" w:hAnsi="Trebuchet MS" w:eastAsia="Times New Roman" w:cs="Times New Roman"/>
      <w:sz w:val="20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0e2ae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e2ae4"/>
    <w:rPr>
      <w:vertAlign w:val="superscript"/>
    </w:rPr>
  </w:style>
  <w:style w:type="character" w:styleId="Lrzxr" w:customStyle="1">
    <w:name w:val="lrzxr"/>
    <w:basedOn w:val="DefaultParagraphFont"/>
    <w:qFormat/>
    <w:rsid w:val="00092012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763c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b456b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b456b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b1c7d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eb1c7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1c7d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125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12523"/>
    <w:pPr/>
    <w:rPr>
      <w:b/>
      <w:bCs/>
    </w:rPr>
  </w:style>
  <w:style w:type="paragraph" w:styleId="Default" w:customStyle="1">
    <w:name w:val="Default"/>
    <w:qFormat/>
    <w:rsid w:val="00b3750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Tytu" w:customStyle="1">
    <w:name w:val="tytuł"/>
    <w:basedOn w:val="Normal"/>
    <w:qFormat/>
    <w:rsid w:val="00643106"/>
    <w:pPr>
      <w:jc w:val="center"/>
    </w:pPr>
    <w:rPr>
      <w:bCs/>
      <w:sz w:val="32"/>
    </w:rPr>
  </w:style>
  <w:style w:type="paragraph" w:styleId="Wcicietrecitekstu">
    <w:name w:val="Body Text Indent"/>
    <w:basedOn w:val="Normal"/>
    <w:link w:val="TekstpodstawowywcityZnak"/>
    <w:semiHidden/>
    <w:rsid w:val="00643106"/>
    <w:pPr>
      <w:spacing w:before="80" w:after="0"/>
      <w:ind w:left="57" w:hanging="0"/>
    </w:pPr>
    <w:rPr>
      <w:rFonts w:ascii="Trebuchet MS" w:hAnsi="Trebuchet MS"/>
      <w:sz w:val="20"/>
    </w:rPr>
  </w:style>
  <w:style w:type="paragraph" w:styleId="Revision">
    <w:name w:val="Revision"/>
    <w:uiPriority w:val="99"/>
    <w:semiHidden/>
    <w:qFormat/>
    <w:rsid w:val="00a51e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0e2ae4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34bd2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2C0D-8466-47AD-887B-FCDFFB9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4</Pages>
  <Words>353</Words>
  <Characters>2284</Characters>
  <CharactersWithSpaces>2575</CharactersWithSpaces>
  <Paragraphs>72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2021-03-15T20:37:00Z</dcterms:created>
  <dc:creator>Aldona Okraszewska</dc:creator>
  <dc:description/>
  <dc:language>pl-PL</dc:language>
  <cp:lastModifiedBy>Arczi</cp:lastModifiedBy>
  <cp:lastPrinted>2020-10-26T10:14:00Z</cp:lastPrinted>
  <dcterms:modified xsi:type="dcterms:W3CDTF">2021-03-16T20:22:00Z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